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668" w:rsidRDefault="00BB1668">
      <w:pPr>
        <w:spacing w:line="600" w:lineRule="exact"/>
        <w:jc w:val="left"/>
        <w:outlineLvl w:val="0"/>
        <w:rPr>
          <w:rFonts w:ascii="方正小标宋简体" w:eastAsia="方正小标宋简体" w:hAnsi="宋体"/>
          <w:szCs w:val="21"/>
        </w:rPr>
      </w:pPr>
      <w:bookmarkStart w:id="0" w:name="_Toc15306267"/>
    </w:p>
    <w:p w:rsidR="00BB1668" w:rsidRDefault="00BB1668">
      <w:pPr>
        <w:spacing w:line="600" w:lineRule="exact"/>
        <w:jc w:val="center"/>
        <w:outlineLvl w:val="0"/>
        <w:rPr>
          <w:rFonts w:ascii="方正小标宋简体" w:eastAsia="方正小标宋简体" w:hAnsi="宋体"/>
          <w:sz w:val="72"/>
          <w:szCs w:val="72"/>
        </w:rPr>
      </w:pPr>
    </w:p>
    <w:p w:rsidR="00BB1668" w:rsidRDefault="00BB1668">
      <w:pPr>
        <w:spacing w:line="600" w:lineRule="exact"/>
        <w:jc w:val="center"/>
        <w:outlineLvl w:val="0"/>
        <w:rPr>
          <w:rFonts w:ascii="方正小标宋简体" w:eastAsia="方正小标宋简体" w:hAnsi="宋体"/>
          <w:sz w:val="72"/>
          <w:szCs w:val="72"/>
        </w:rPr>
      </w:pPr>
    </w:p>
    <w:p w:rsidR="00BD6FD7" w:rsidRPr="00BD6FD7" w:rsidRDefault="00BD6FD7" w:rsidP="00BD6FD7">
      <w:pPr>
        <w:pStyle w:val="a0"/>
        <w:spacing w:before="93"/>
      </w:pPr>
    </w:p>
    <w:p w:rsidR="00BB1668" w:rsidRDefault="00757F8E">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96476"/>
      <w:bookmarkStart w:id="2" w:name="_Toc15306268"/>
      <w:bookmarkStart w:id="3" w:name="_Toc15378442"/>
      <w:bookmarkStart w:id="4" w:name="_Toc15377194"/>
      <w:bookmarkStart w:id="5" w:name="_Toc15377426"/>
      <w:bookmarkStart w:id="6" w:name="_Toc15396598"/>
      <w:bookmarkEnd w:id="0"/>
      <w:r>
        <w:rPr>
          <w:rFonts w:ascii="方正小标宋简体" w:eastAsia="方正小标宋简体" w:hAnsi="宋体" w:hint="eastAsia"/>
          <w:color w:val="000000"/>
          <w:sz w:val="72"/>
          <w:szCs w:val="72"/>
        </w:rPr>
        <w:t>泸县中宏特殊教育学校</w:t>
      </w:r>
    </w:p>
    <w:p w:rsidR="00BB1668" w:rsidRDefault="00BD6FD7" w:rsidP="00BD6FD7">
      <w:pPr>
        <w:adjustRightInd w:val="0"/>
        <w:snapToGrid w:val="0"/>
        <w:spacing w:line="360" w:lineRule="auto"/>
        <w:jc w:val="center"/>
        <w:outlineLvl w:val="0"/>
        <w:rPr>
          <w:rFonts w:ascii="方正小标宋简体" w:eastAsia="方正小标宋简体" w:hAnsi="方正小标宋简体" w:cs="方正小标宋简体"/>
          <w:sz w:val="72"/>
          <w:szCs w:val="72"/>
        </w:rPr>
      </w:pPr>
      <w:bookmarkStart w:id="7" w:name="_Toc15396475"/>
      <w:bookmarkStart w:id="8" w:name="_Toc15396597"/>
      <w:bookmarkStart w:id="9" w:name="_Toc15377193"/>
      <w:bookmarkStart w:id="10" w:name="_Toc15377425"/>
      <w:bookmarkStart w:id="11" w:name="_Toc15378441"/>
      <w:r>
        <w:rPr>
          <w:rFonts w:ascii="方正小标宋简体" w:eastAsia="方正小标宋简体" w:hAnsi="方正小标宋简体" w:cs="方正小标宋简体" w:hint="eastAsia"/>
          <w:sz w:val="72"/>
          <w:szCs w:val="72"/>
        </w:rPr>
        <w:t>2022年度</w:t>
      </w:r>
      <w:bookmarkEnd w:id="7"/>
      <w:bookmarkEnd w:id="8"/>
      <w:bookmarkEnd w:id="9"/>
      <w:bookmarkEnd w:id="10"/>
      <w:bookmarkEnd w:id="11"/>
      <w:r w:rsidR="00E12603">
        <w:rPr>
          <w:rFonts w:ascii="方正小标宋简体" w:eastAsia="方正小标宋简体" w:hAnsi="方正小标宋简体" w:cs="方正小标宋简体" w:hint="eastAsia"/>
          <w:sz w:val="72"/>
          <w:szCs w:val="72"/>
        </w:rPr>
        <w:t>部门</w:t>
      </w:r>
      <w:r w:rsidR="00757F8E">
        <w:rPr>
          <w:rFonts w:ascii="方正小标宋简体" w:eastAsia="方正小标宋简体" w:hAnsi="方正小标宋简体" w:cs="方正小标宋简体" w:hint="eastAsia"/>
          <w:sz w:val="72"/>
          <w:szCs w:val="72"/>
        </w:rPr>
        <w:t>决算</w:t>
      </w:r>
      <w:bookmarkEnd w:id="1"/>
      <w:bookmarkEnd w:id="2"/>
      <w:bookmarkEnd w:id="3"/>
      <w:bookmarkEnd w:id="4"/>
      <w:bookmarkEnd w:id="5"/>
      <w:bookmarkEnd w:id="6"/>
    </w:p>
    <w:p w:rsidR="00BB1668" w:rsidRDefault="00757F8E">
      <w:pPr>
        <w:widowControl/>
        <w:jc w:val="center"/>
        <w:rPr>
          <w:rFonts w:ascii="黑体" w:eastAsia="黑体" w:hAnsi="黑体"/>
          <w:sz w:val="48"/>
          <w:szCs w:val="48"/>
        </w:rPr>
      </w:pPr>
      <w:r>
        <w:rPr>
          <w:rFonts w:ascii="方正小标宋简体" w:eastAsia="方正小标宋简体" w:hAnsi="宋体"/>
          <w:sz w:val="36"/>
          <w:szCs w:val="36"/>
        </w:rPr>
        <w:br w:type="page"/>
      </w:r>
      <w:r>
        <w:rPr>
          <w:rFonts w:ascii="黑体" w:eastAsia="黑体" w:hAnsi="黑体" w:hint="eastAsia"/>
          <w:sz w:val="48"/>
          <w:szCs w:val="48"/>
        </w:rPr>
        <w:lastRenderedPageBreak/>
        <w:t>目录</w:t>
      </w:r>
    </w:p>
    <w:p w:rsidR="00BB1668" w:rsidRDefault="00BB1668">
      <w:pPr>
        <w:widowControl/>
        <w:jc w:val="center"/>
        <w:rPr>
          <w:rFonts w:ascii="黑体" w:eastAsia="黑体" w:hAnsi="黑体" w:cstheme="minorBidi"/>
          <w:sz w:val="28"/>
          <w:szCs w:val="28"/>
        </w:rPr>
      </w:pPr>
    </w:p>
    <w:p w:rsidR="00BB1668" w:rsidRDefault="00757F8E">
      <w:pPr>
        <w:pStyle w:val="10"/>
      </w:pPr>
      <w:r>
        <w:rPr>
          <w:rFonts w:hint="eastAsia"/>
        </w:rPr>
        <w:t>公开时间：2023年</w:t>
      </w:r>
      <w:r w:rsidR="00F45C63">
        <w:rPr>
          <w:rFonts w:hint="eastAsia"/>
        </w:rPr>
        <w:t>10</w:t>
      </w:r>
      <w:r>
        <w:rPr>
          <w:rFonts w:hint="eastAsia"/>
        </w:rPr>
        <w:t>月</w:t>
      </w:r>
      <w:r w:rsidR="00F45C63">
        <w:rPr>
          <w:rFonts w:hint="eastAsia"/>
        </w:rPr>
        <w:t>12</w:t>
      </w:r>
      <w:r>
        <w:rPr>
          <w:rFonts w:hint="eastAsia"/>
        </w:rPr>
        <w:t xml:space="preserve"> 日</w:t>
      </w:r>
    </w:p>
    <w:p w:rsidR="00BB1668" w:rsidRDefault="00BB1668"/>
    <w:p w:rsidR="00BB1668" w:rsidRDefault="00757F8E">
      <w:pPr>
        <w:pStyle w:val="10"/>
        <w:adjustRightInd w:val="0"/>
        <w:snapToGrid w:val="0"/>
        <w:spacing w:before="0" w:line="440" w:lineRule="exact"/>
        <w:jc w:val="left"/>
        <w:rPr>
          <w:rFonts w:cstheme="minorBidi"/>
          <w:sz w:val="24"/>
          <w:szCs w:val="24"/>
        </w:rPr>
      </w:pPr>
      <w:r>
        <w:rPr>
          <w:rFonts w:hint="eastAsia"/>
          <w:sz w:val="24"/>
        </w:rPr>
        <w:t>第一部分</w:t>
      </w:r>
      <w:r w:rsidR="00E12603">
        <w:rPr>
          <w:rFonts w:hint="eastAsia"/>
          <w:sz w:val="24"/>
        </w:rPr>
        <w:t>部门</w:t>
      </w:r>
      <w:r>
        <w:rPr>
          <w:rFonts w:hint="eastAsia"/>
          <w:sz w:val="24"/>
        </w:rPr>
        <w:t>概况</w:t>
      </w:r>
    </w:p>
    <w:p w:rsidR="00BB1668" w:rsidRDefault="00757F8E">
      <w:pPr>
        <w:pStyle w:val="20"/>
        <w:adjustRightInd w:val="0"/>
        <w:snapToGrid w:val="0"/>
        <w:spacing w:line="440" w:lineRule="exact"/>
        <w:jc w:val="left"/>
        <w:rPr>
          <w:sz w:val="24"/>
        </w:rPr>
      </w:pPr>
      <w:r>
        <w:rPr>
          <w:rFonts w:hint="eastAsia"/>
          <w:sz w:val="24"/>
        </w:rPr>
        <w:t>一、主要职责</w:t>
      </w:r>
    </w:p>
    <w:p w:rsidR="00BB1668" w:rsidRDefault="00757F8E">
      <w:pPr>
        <w:pStyle w:val="20"/>
        <w:adjustRightInd w:val="0"/>
        <w:snapToGrid w:val="0"/>
        <w:spacing w:line="440" w:lineRule="exact"/>
        <w:jc w:val="left"/>
      </w:pPr>
      <w:r>
        <w:rPr>
          <w:rFonts w:hint="eastAsia"/>
          <w:sz w:val="24"/>
        </w:rPr>
        <w:t>二、机构设置</w:t>
      </w:r>
    </w:p>
    <w:p w:rsidR="00BB1668" w:rsidRDefault="00757F8E">
      <w:pPr>
        <w:pStyle w:val="10"/>
        <w:adjustRightInd w:val="0"/>
        <w:snapToGrid w:val="0"/>
        <w:spacing w:before="0" w:line="440" w:lineRule="exact"/>
        <w:jc w:val="left"/>
        <w:rPr>
          <w:sz w:val="24"/>
          <w:szCs w:val="24"/>
        </w:rPr>
      </w:pPr>
      <w:r>
        <w:rPr>
          <w:rFonts w:hint="eastAsia"/>
          <w:sz w:val="24"/>
        </w:rPr>
        <w:t>第二部分 2022年度</w:t>
      </w:r>
      <w:r w:rsidR="00E12603">
        <w:rPr>
          <w:rFonts w:hint="eastAsia"/>
          <w:sz w:val="24"/>
        </w:rPr>
        <w:t>部门</w:t>
      </w:r>
      <w:r>
        <w:rPr>
          <w:rFonts w:hint="eastAsia"/>
          <w:sz w:val="24"/>
        </w:rPr>
        <w:t>决算情况说明</w:t>
      </w:r>
    </w:p>
    <w:p w:rsidR="00BB1668" w:rsidRDefault="00757F8E">
      <w:pPr>
        <w:pStyle w:val="20"/>
        <w:adjustRightInd w:val="0"/>
        <w:snapToGrid w:val="0"/>
        <w:spacing w:line="440" w:lineRule="exact"/>
        <w:jc w:val="left"/>
        <w:rPr>
          <w:rFonts w:ascii="仿宋" w:eastAsia="仿宋" w:hAnsi="仿宋" w:cstheme="minorBidi"/>
          <w:sz w:val="24"/>
        </w:rPr>
      </w:pPr>
      <w:r>
        <w:rPr>
          <w:rFonts w:hint="eastAsia"/>
          <w:sz w:val="24"/>
        </w:rPr>
        <w:t>一、收入支出决算总体情况说明</w:t>
      </w:r>
    </w:p>
    <w:p w:rsidR="00BB1668" w:rsidRDefault="00757F8E">
      <w:pPr>
        <w:pStyle w:val="20"/>
        <w:adjustRightInd w:val="0"/>
        <w:snapToGrid w:val="0"/>
        <w:spacing w:line="440" w:lineRule="exact"/>
        <w:jc w:val="left"/>
        <w:rPr>
          <w:rFonts w:ascii="仿宋" w:eastAsia="仿宋" w:hAnsi="仿宋" w:cstheme="minorBidi"/>
          <w:sz w:val="24"/>
        </w:rPr>
      </w:pPr>
      <w:r>
        <w:rPr>
          <w:rFonts w:hint="eastAsia"/>
          <w:sz w:val="24"/>
        </w:rPr>
        <w:t>二、收入决算情况说明</w:t>
      </w:r>
    </w:p>
    <w:p w:rsidR="00BB1668" w:rsidRDefault="00757F8E">
      <w:pPr>
        <w:pStyle w:val="20"/>
        <w:adjustRightInd w:val="0"/>
        <w:snapToGrid w:val="0"/>
        <w:spacing w:line="440" w:lineRule="exact"/>
        <w:jc w:val="left"/>
        <w:rPr>
          <w:rFonts w:ascii="仿宋" w:eastAsia="仿宋" w:hAnsi="仿宋" w:cstheme="minorBidi"/>
          <w:sz w:val="24"/>
        </w:rPr>
      </w:pPr>
      <w:r>
        <w:rPr>
          <w:rFonts w:hint="eastAsia"/>
          <w:sz w:val="24"/>
        </w:rPr>
        <w:t>三、支出决算情况说明</w:t>
      </w:r>
    </w:p>
    <w:p w:rsidR="00BB1668" w:rsidRDefault="00757F8E">
      <w:pPr>
        <w:pStyle w:val="20"/>
        <w:adjustRightInd w:val="0"/>
        <w:snapToGrid w:val="0"/>
        <w:spacing w:line="440" w:lineRule="exact"/>
        <w:jc w:val="left"/>
        <w:rPr>
          <w:rFonts w:ascii="仿宋" w:eastAsia="仿宋" w:hAnsi="仿宋" w:cstheme="minorBidi"/>
          <w:sz w:val="24"/>
        </w:rPr>
      </w:pPr>
      <w:r>
        <w:rPr>
          <w:rFonts w:hint="eastAsia"/>
          <w:sz w:val="24"/>
        </w:rPr>
        <w:t>四、财政拨款收入支出决算总体情况说明</w:t>
      </w:r>
    </w:p>
    <w:p w:rsidR="00BB1668" w:rsidRDefault="00757F8E">
      <w:pPr>
        <w:pStyle w:val="20"/>
        <w:adjustRightInd w:val="0"/>
        <w:snapToGrid w:val="0"/>
        <w:spacing w:line="440" w:lineRule="exact"/>
        <w:jc w:val="left"/>
        <w:rPr>
          <w:rFonts w:ascii="仿宋" w:eastAsia="仿宋" w:hAnsi="仿宋" w:cstheme="minorBidi"/>
          <w:sz w:val="24"/>
        </w:rPr>
      </w:pPr>
      <w:r>
        <w:rPr>
          <w:rFonts w:hint="eastAsia"/>
          <w:sz w:val="24"/>
        </w:rPr>
        <w:t>五、一般公共预算财政拨款支出决算情况说明</w:t>
      </w:r>
    </w:p>
    <w:p w:rsidR="00BB1668" w:rsidRDefault="00757F8E">
      <w:pPr>
        <w:pStyle w:val="20"/>
        <w:adjustRightInd w:val="0"/>
        <w:snapToGrid w:val="0"/>
        <w:spacing w:line="440" w:lineRule="exact"/>
        <w:jc w:val="left"/>
        <w:rPr>
          <w:rFonts w:ascii="仿宋" w:eastAsia="仿宋" w:hAnsi="仿宋" w:cstheme="minorBidi"/>
          <w:sz w:val="24"/>
        </w:rPr>
      </w:pPr>
      <w:r>
        <w:rPr>
          <w:rFonts w:hint="eastAsia"/>
          <w:sz w:val="24"/>
        </w:rPr>
        <w:t>六、一般公共预算财政拨款基本支出决算情况说明</w:t>
      </w:r>
    </w:p>
    <w:p w:rsidR="00BB1668" w:rsidRDefault="00757F8E">
      <w:pPr>
        <w:pStyle w:val="20"/>
        <w:adjustRightInd w:val="0"/>
        <w:snapToGrid w:val="0"/>
        <w:spacing w:line="440" w:lineRule="exact"/>
        <w:jc w:val="left"/>
        <w:rPr>
          <w:rFonts w:ascii="仿宋" w:eastAsia="仿宋" w:hAnsi="仿宋" w:cstheme="minorBidi"/>
          <w:sz w:val="24"/>
        </w:rPr>
      </w:pPr>
      <w:r>
        <w:rPr>
          <w:rFonts w:hint="eastAsia"/>
          <w:sz w:val="24"/>
        </w:rPr>
        <w:t>七、财政拨款“三公”经费支出决算情况说明</w:t>
      </w:r>
    </w:p>
    <w:p w:rsidR="00BB1668" w:rsidRDefault="00757F8E">
      <w:pPr>
        <w:pStyle w:val="20"/>
        <w:adjustRightInd w:val="0"/>
        <w:snapToGrid w:val="0"/>
        <w:spacing w:line="440" w:lineRule="exact"/>
        <w:jc w:val="left"/>
        <w:rPr>
          <w:rFonts w:ascii="仿宋" w:eastAsia="仿宋" w:hAnsi="仿宋" w:cstheme="minorBidi"/>
          <w:sz w:val="24"/>
        </w:rPr>
      </w:pPr>
      <w:r>
        <w:rPr>
          <w:rFonts w:hint="eastAsia"/>
          <w:sz w:val="24"/>
        </w:rPr>
        <w:t>八、政府性基金预算支出决算情况说明</w:t>
      </w:r>
    </w:p>
    <w:p w:rsidR="00BB1668" w:rsidRDefault="00757F8E">
      <w:pPr>
        <w:pStyle w:val="20"/>
        <w:adjustRightInd w:val="0"/>
        <w:snapToGrid w:val="0"/>
        <w:spacing w:line="440" w:lineRule="exact"/>
        <w:jc w:val="left"/>
        <w:rPr>
          <w:sz w:val="24"/>
        </w:rPr>
      </w:pPr>
      <w:r>
        <w:rPr>
          <w:rFonts w:hint="eastAsia"/>
          <w:sz w:val="24"/>
        </w:rPr>
        <w:t>九、国有资本经营预算支出决算情况说明</w:t>
      </w:r>
    </w:p>
    <w:p w:rsidR="00BB1668" w:rsidRDefault="00757F8E">
      <w:pPr>
        <w:pStyle w:val="20"/>
        <w:adjustRightInd w:val="0"/>
        <w:snapToGrid w:val="0"/>
        <w:spacing w:line="440" w:lineRule="exact"/>
        <w:jc w:val="left"/>
        <w:rPr>
          <w:sz w:val="24"/>
        </w:rPr>
      </w:pPr>
      <w:r>
        <w:rPr>
          <w:rFonts w:hint="eastAsia"/>
          <w:sz w:val="24"/>
        </w:rPr>
        <w:t>十、其他重要事项的情况说明</w:t>
      </w:r>
    </w:p>
    <w:p w:rsidR="00BB1668" w:rsidRDefault="00757F8E">
      <w:pPr>
        <w:pStyle w:val="10"/>
        <w:adjustRightInd w:val="0"/>
        <w:snapToGrid w:val="0"/>
        <w:spacing w:before="0" w:line="440" w:lineRule="exact"/>
        <w:jc w:val="left"/>
        <w:rPr>
          <w:rFonts w:cstheme="minorBidi"/>
          <w:sz w:val="24"/>
          <w:szCs w:val="24"/>
        </w:rPr>
      </w:pPr>
      <w:r>
        <w:rPr>
          <w:rFonts w:hint="eastAsia"/>
          <w:sz w:val="24"/>
        </w:rPr>
        <w:t>第三部分名词解释</w:t>
      </w:r>
    </w:p>
    <w:p w:rsidR="00BB1668" w:rsidRDefault="00757F8E">
      <w:pPr>
        <w:pStyle w:val="10"/>
        <w:adjustRightInd w:val="0"/>
        <w:snapToGrid w:val="0"/>
        <w:spacing w:before="0" w:line="440" w:lineRule="exact"/>
        <w:jc w:val="left"/>
        <w:rPr>
          <w:rFonts w:cstheme="minorBidi"/>
          <w:sz w:val="24"/>
          <w:szCs w:val="24"/>
        </w:rPr>
      </w:pPr>
      <w:r>
        <w:rPr>
          <w:rFonts w:hint="eastAsia"/>
          <w:sz w:val="24"/>
        </w:rPr>
        <w:t>第四部分附件</w:t>
      </w:r>
    </w:p>
    <w:p w:rsidR="00BB1668" w:rsidRDefault="00757F8E">
      <w:pPr>
        <w:pStyle w:val="10"/>
        <w:adjustRightInd w:val="0"/>
        <w:snapToGrid w:val="0"/>
        <w:spacing w:before="0" w:line="440" w:lineRule="exact"/>
        <w:jc w:val="left"/>
        <w:rPr>
          <w:rFonts w:cstheme="minorBidi"/>
          <w:sz w:val="24"/>
          <w:szCs w:val="24"/>
        </w:rPr>
      </w:pPr>
      <w:r>
        <w:rPr>
          <w:rFonts w:hint="eastAsia"/>
          <w:sz w:val="24"/>
        </w:rPr>
        <w:t>第五部分附表</w:t>
      </w:r>
    </w:p>
    <w:p w:rsidR="00BB1668" w:rsidRDefault="00757F8E">
      <w:pPr>
        <w:pStyle w:val="20"/>
        <w:adjustRightInd w:val="0"/>
        <w:snapToGrid w:val="0"/>
        <w:spacing w:line="440" w:lineRule="exact"/>
        <w:jc w:val="left"/>
        <w:rPr>
          <w:sz w:val="24"/>
        </w:rPr>
      </w:pPr>
      <w:r>
        <w:rPr>
          <w:rFonts w:hint="eastAsia"/>
          <w:sz w:val="24"/>
        </w:rPr>
        <w:t>一、收入支出决算总表</w:t>
      </w:r>
    </w:p>
    <w:p w:rsidR="00BB1668" w:rsidRDefault="00757F8E">
      <w:pPr>
        <w:pStyle w:val="20"/>
        <w:adjustRightInd w:val="0"/>
        <w:snapToGrid w:val="0"/>
        <w:spacing w:line="440" w:lineRule="exact"/>
        <w:jc w:val="left"/>
        <w:rPr>
          <w:sz w:val="24"/>
        </w:rPr>
      </w:pPr>
      <w:r>
        <w:rPr>
          <w:rFonts w:hint="eastAsia"/>
          <w:sz w:val="24"/>
        </w:rPr>
        <w:t>二、收入决算表</w:t>
      </w:r>
    </w:p>
    <w:p w:rsidR="00BB1668" w:rsidRDefault="00757F8E">
      <w:pPr>
        <w:pStyle w:val="20"/>
        <w:adjustRightInd w:val="0"/>
        <w:snapToGrid w:val="0"/>
        <w:spacing w:line="440" w:lineRule="exact"/>
        <w:jc w:val="left"/>
        <w:rPr>
          <w:sz w:val="24"/>
        </w:rPr>
      </w:pPr>
      <w:r>
        <w:rPr>
          <w:rFonts w:hint="eastAsia"/>
          <w:sz w:val="24"/>
        </w:rPr>
        <w:t>三、支出决算表</w:t>
      </w:r>
    </w:p>
    <w:p w:rsidR="00BB1668" w:rsidRDefault="00757F8E">
      <w:pPr>
        <w:pStyle w:val="20"/>
        <w:adjustRightInd w:val="0"/>
        <w:snapToGrid w:val="0"/>
        <w:spacing w:line="440" w:lineRule="exact"/>
        <w:jc w:val="left"/>
        <w:rPr>
          <w:sz w:val="24"/>
        </w:rPr>
      </w:pPr>
      <w:r>
        <w:rPr>
          <w:rFonts w:hint="eastAsia"/>
          <w:sz w:val="24"/>
        </w:rPr>
        <w:t>四、财政拨款收入支出决算总表</w:t>
      </w:r>
    </w:p>
    <w:p w:rsidR="00BB1668" w:rsidRDefault="00757F8E">
      <w:pPr>
        <w:pStyle w:val="20"/>
        <w:adjustRightInd w:val="0"/>
        <w:snapToGrid w:val="0"/>
        <w:spacing w:line="440" w:lineRule="exact"/>
        <w:jc w:val="left"/>
        <w:rPr>
          <w:sz w:val="24"/>
        </w:rPr>
      </w:pPr>
      <w:r>
        <w:rPr>
          <w:rFonts w:hint="eastAsia"/>
          <w:sz w:val="24"/>
        </w:rPr>
        <w:t>五、财政拨款支出决算明细表</w:t>
      </w:r>
    </w:p>
    <w:p w:rsidR="00BB1668" w:rsidRDefault="00757F8E">
      <w:pPr>
        <w:pStyle w:val="20"/>
        <w:adjustRightInd w:val="0"/>
        <w:snapToGrid w:val="0"/>
        <w:spacing w:line="440" w:lineRule="exact"/>
        <w:jc w:val="left"/>
        <w:rPr>
          <w:sz w:val="24"/>
        </w:rPr>
      </w:pPr>
      <w:r>
        <w:rPr>
          <w:rFonts w:hint="eastAsia"/>
          <w:sz w:val="24"/>
        </w:rPr>
        <w:t>六、一般公共预算财政拨款支出决算表</w:t>
      </w:r>
    </w:p>
    <w:p w:rsidR="00BB1668" w:rsidRDefault="00757F8E">
      <w:pPr>
        <w:pStyle w:val="20"/>
        <w:adjustRightInd w:val="0"/>
        <w:snapToGrid w:val="0"/>
        <w:spacing w:line="440" w:lineRule="exact"/>
        <w:jc w:val="left"/>
        <w:rPr>
          <w:sz w:val="24"/>
        </w:rPr>
      </w:pPr>
      <w:r>
        <w:rPr>
          <w:rFonts w:hint="eastAsia"/>
          <w:sz w:val="24"/>
        </w:rPr>
        <w:t>七、一般公共预算财政拨款支出决算明细表</w:t>
      </w:r>
    </w:p>
    <w:p w:rsidR="00BB1668" w:rsidRDefault="00757F8E">
      <w:pPr>
        <w:pStyle w:val="20"/>
        <w:adjustRightInd w:val="0"/>
        <w:snapToGrid w:val="0"/>
        <w:spacing w:line="440" w:lineRule="exact"/>
        <w:jc w:val="left"/>
        <w:rPr>
          <w:sz w:val="24"/>
        </w:rPr>
      </w:pPr>
      <w:r>
        <w:rPr>
          <w:rFonts w:hint="eastAsia"/>
          <w:sz w:val="24"/>
        </w:rPr>
        <w:t>八、一般公共预算财政拨款基本支出决算明细表</w:t>
      </w:r>
    </w:p>
    <w:p w:rsidR="00BB1668" w:rsidRDefault="00757F8E">
      <w:pPr>
        <w:pStyle w:val="20"/>
        <w:adjustRightInd w:val="0"/>
        <w:snapToGrid w:val="0"/>
        <w:spacing w:line="440" w:lineRule="exact"/>
        <w:jc w:val="left"/>
        <w:rPr>
          <w:sz w:val="24"/>
        </w:rPr>
      </w:pPr>
      <w:r>
        <w:rPr>
          <w:rFonts w:hint="eastAsia"/>
          <w:sz w:val="24"/>
        </w:rPr>
        <w:t>九、一般公共预算财政拨款项目支出决算表</w:t>
      </w:r>
    </w:p>
    <w:p w:rsidR="00BB1668" w:rsidRDefault="00757F8E">
      <w:pPr>
        <w:pStyle w:val="20"/>
        <w:adjustRightInd w:val="0"/>
        <w:snapToGrid w:val="0"/>
        <w:spacing w:line="440" w:lineRule="exact"/>
        <w:jc w:val="left"/>
        <w:rPr>
          <w:sz w:val="24"/>
        </w:rPr>
      </w:pPr>
      <w:r>
        <w:rPr>
          <w:rFonts w:hint="eastAsia"/>
          <w:sz w:val="24"/>
        </w:rPr>
        <w:lastRenderedPageBreak/>
        <w:t>十、政府性基金预算财政拨款收入支出决算表</w:t>
      </w:r>
    </w:p>
    <w:p w:rsidR="00BB1668" w:rsidRDefault="00757F8E">
      <w:pPr>
        <w:pStyle w:val="20"/>
        <w:adjustRightInd w:val="0"/>
        <w:snapToGrid w:val="0"/>
        <w:spacing w:line="440" w:lineRule="exact"/>
        <w:jc w:val="left"/>
        <w:rPr>
          <w:sz w:val="24"/>
        </w:rPr>
      </w:pPr>
      <w:r>
        <w:rPr>
          <w:rFonts w:hint="eastAsia"/>
          <w:sz w:val="24"/>
        </w:rPr>
        <w:t>十一、国有资本经营预算财政拨款收入支出决算表</w:t>
      </w:r>
    </w:p>
    <w:p w:rsidR="00BB1668" w:rsidRDefault="00757F8E">
      <w:pPr>
        <w:pStyle w:val="20"/>
        <w:adjustRightInd w:val="0"/>
        <w:snapToGrid w:val="0"/>
        <w:spacing w:line="440" w:lineRule="exact"/>
        <w:jc w:val="left"/>
        <w:rPr>
          <w:sz w:val="24"/>
        </w:rPr>
      </w:pPr>
      <w:r>
        <w:rPr>
          <w:rFonts w:hint="eastAsia"/>
          <w:sz w:val="24"/>
        </w:rPr>
        <w:t>十二、国有资本经营预算财政拨款支出决算表</w:t>
      </w:r>
    </w:p>
    <w:p w:rsidR="00BB1668" w:rsidRDefault="00757F8E">
      <w:pPr>
        <w:pStyle w:val="20"/>
        <w:adjustRightInd w:val="0"/>
        <w:snapToGrid w:val="0"/>
        <w:spacing w:line="440" w:lineRule="exact"/>
        <w:jc w:val="left"/>
        <w:rPr>
          <w:sz w:val="24"/>
        </w:rPr>
      </w:pPr>
      <w:r>
        <w:rPr>
          <w:rFonts w:hint="eastAsia"/>
          <w:sz w:val="24"/>
        </w:rPr>
        <w:t>十三、财政拨款“三公”经费支出决算表</w:t>
      </w:r>
    </w:p>
    <w:p w:rsidR="00BB1668" w:rsidRDefault="00757F8E">
      <w:pPr>
        <w:widowControl/>
        <w:spacing w:line="440" w:lineRule="exact"/>
        <w:jc w:val="left"/>
        <w:rPr>
          <w:rFonts w:ascii="仿宋" w:eastAsia="仿宋" w:hAnsi="仿宋"/>
          <w:bCs/>
          <w:kern w:val="44"/>
          <w:sz w:val="24"/>
        </w:rPr>
      </w:pPr>
      <w:bookmarkStart w:id="12" w:name="_Toc15396599"/>
      <w:bookmarkStart w:id="13" w:name="_Toc15377196"/>
      <w:r>
        <w:rPr>
          <w:rFonts w:ascii="仿宋" w:eastAsia="仿宋" w:hAnsi="仿宋"/>
          <w:b/>
          <w:sz w:val="24"/>
        </w:rPr>
        <w:br w:type="page"/>
      </w:r>
    </w:p>
    <w:p w:rsidR="00BB1668" w:rsidRDefault="00757F8E">
      <w:pPr>
        <w:pStyle w:val="1"/>
        <w:jc w:val="center"/>
        <w:rPr>
          <w:rStyle w:val="1Char"/>
          <w:rFonts w:ascii="黑体" w:eastAsia="黑体" w:hAnsi="黑体"/>
          <w:b/>
        </w:rPr>
      </w:pPr>
      <w:r>
        <w:rPr>
          <w:rFonts w:ascii="黑体" w:eastAsia="黑体" w:hAnsi="黑体" w:hint="eastAsia"/>
          <w:b w:val="0"/>
        </w:rPr>
        <w:lastRenderedPageBreak/>
        <w:t xml:space="preserve">第一部分 </w:t>
      </w:r>
      <w:r w:rsidR="00E12603">
        <w:rPr>
          <w:rFonts w:ascii="黑体" w:eastAsia="黑体" w:hAnsi="黑体" w:hint="eastAsia"/>
          <w:b w:val="0"/>
        </w:rPr>
        <w:t>部门</w:t>
      </w:r>
      <w:r>
        <w:rPr>
          <w:rStyle w:val="1Char"/>
          <w:rFonts w:ascii="黑体" w:eastAsia="黑体" w:hAnsi="黑体" w:hint="eastAsia"/>
        </w:rPr>
        <w:t>概况</w:t>
      </w:r>
      <w:bookmarkEnd w:id="12"/>
      <w:bookmarkEnd w:id="13"/>
    </w:p>
    <w:p w:rsidR="00BB1668" w:rsidRDefault="00BB1668">
      <w:pPr>
        <w:widowControl/>
        <w:jc w:val="left"/>
        <w:rPr>
          <w:rFonts w:ascii="黑体" w:eastAsia="黑体"/>
          <w:sz w:val="32"/>
          <w:szCs w:val="32"/>
        </w:rPr>
      </w:pPr>
    </w:p>
    <w:p w:rsidR="00BB1668" w:rsidRDefault="00757F8E">
      <w:pPr>
        <w:pStyle w:val="2"/>
        <w:numPr>
          <w:ilvl w:val="0"/>
          <w:numId w:val="1"/>
        </w:numPr>
        <w:rPr>
          <w:rStyle w:val="2Char"/>
          <w:rFonts w:ascii="黑体" w:eastAsia="黑体" w:hAnsi="黑体"/>
        </w:rPr>
      </w:pPr>
      <w:bookmarkStart w:id="14" w:name="_Toc15377197"/>
      <w:bookmarkStart w:id="15" w:name="_Toc15396600"/>
      <w:r>
        <w:rPr>
          <w:rStyle w:val="2Char"/>
          <w:rFonts w:ascii="黑体" w:eastAsia="黑体" w:hAnsi="黑体" w:hint="eastAsia"/>
        </w:rPr>
        <w:t>主要职责</w:t>
      </w:r>
    </w:p>
    <w:p w:rsidR="00BB1668" w:rsidRDefault="00757F8E">
      <w:pPr>
        <w:snapToGrid w:val="0"/>
        <w:spacing w:line="520" w:lineRule="exact"/>
        <w:ind w:firstLineChars="200" w:firstLine="640"/>
        <w:rPr>
          <w:rFonts w:ascii="仿宋" w:eastAsia="仿宋" w:hAnsi="仿宋"/>
          <w:bCs/>
          <w:color w:val="000000"/>
          <w:sz w:val="32"/>
          <w:szCs w:val="32"/>
        </w:rPr>
      </w:pPr>
      <w:r>
        <w:rPr>
          <w:rFonts w:ascii="仿宋" w:eastAsia="仿宋" w:hAnsi="仿宋" w:hint="eastAsia"/>
          <w:bCs/>
          <w:color w:val="000000"/>
          <w:kern w:val="0"/>
          <w:sz w:val="32"/>
          <w:szCs w:val="32"/>
        </w:rPr>
        <w:t>泸县中宏特殊教育学校重点工作是负责泸县区域内中重度残疾儿童的义务教育工作。2022年我校有138名残疾学生,新招学生32名，全面完成了招生任务。为部分不能到学校上学的重度残疾学生送教到家，解决了重度残疾儿童就学问题。为县域内乡镇学校资源教室提供技术指导工作，解决了轻度随班就读残疾儿童的康复技术问题。</w:t>
      </w:r>
    </w:p>
    <w:p w:rsidR="00BB1668" w:rsidRDefault="00BB1668"/>
    <w:p w:rsidR="00BB1668" w:rsidRDefault="00757F8E">
      <w:pPr>
        <w:pStyle w:val="2"/>
        <w:rPr>
          <w:rFonts w:ascii="黑体" w:eastAsia="黑体" w:hAnsi="黑体"/>
          <w:b w:val="0"/>
        </w:rPr>
      </w:pPr>
      <w:r>
        <w:rPr>
          <w:rFonts w:ascii="黑体" w:eastAsia="黑体" w:hAnsi="黑体" w:hint="eastAsia"/>
          <w:b w:val="0"/>
        </w:rPr>
        <w:t>二、机构设置</w:t>
      </w:r>
    </w:p>
    <w:bookmarkEnd w:id="14"/>
    <w:bookmarkEnd w:id="15"/>
    <w:p w:rsidR="00BB1668" w:rsidRDefault="00757F8E">
      <w:pPr>
        <w:widowControl/>
        <w:ind w:firstLineChars="200" w:firstLine="640"/>
        <w:jc w:val="left"/>
        <w:rPr>
          <w:rFonts w:ascii="仿宋" w:eastAsia="仿宋" w:hAnsi="仿宋"/>
          <w:kern w:val="0"/>
          <w:sz w:val="32"/>
          <w:szCs w:val="32"/>
        </w:rPr>
      </w:pPr>
      <w:r>
        <w:rPr>
          <w:rFonts w:ascii="仿宋" w:eastAsia="仿宋" w:hAnsi="仿宋" w:hint="eastAsia"/>
          <w:bCs/>
          <w:color w:val="000000"/>
          <w:sz w:val="32"/>
          <w:szCs w:val="32"/>
        </w:rPr>
        <w:t>泸县中宏特殊教育学校是一级预算全额拨款事业单位。学校总编制数35名。现在职人员总数37人，有2名退休人员。</w:t>
      </w:r>
    </w:p>
    <w:p w:rsidR="00BB1668" w:rsidRDefault="00BB1668">
      <w:pPr>
        <w:pStyle w:val="1"/>
        <w:ind w:right="440"/>
        <w:jc w:val="center"/>
        <w:rPr>
          <w:rFonts w:ascii="黑体" w:eastAsia="黑体" w:hAnsi="黑体"/>
          <w:b w:val="0"/>
        </w:rPr>
      </w:pPr>
      <w:bookmarkStart w:id="16" w:name="_Toc15377204"/>
      <w:bookmarkStart w:id="17" w:name="_Toc15396602"/>
    </w:p>
    <w:p w:rsidR="00BB1668" w:rsidRDefault="00BB1668"/>
    <w:p w:rsidR="00BB1668" w:rsidRDefault="00BB1668">
      <w:pPr>
        <w:pStyle w:val="1"/>
        <w:ind w:right="440"/>
        <w:jc w:val="center"/>
        <w:rPr>
          <w:rFonts w:ascii="黑体" w:eastAsia="黑体" w:hAnsi="黑体"/>
          <w:b w:val="0"/>
        </w:rPr>
      </w:pPr>
    </w:p>
    <w:p w:rsidR="00BB1668" w:rsidRDefault="00BB1668"/>
    <w:p w:rsidR="00BB1668" w:rsidRDefault="00757F8E">
      <w:pPr>
        <w:pStyle w:val="1"/>
        <w:ind w:right="440"/>
        <w:jc w:val="center"/>
        <w:rPr>
          <w:rStyle w:val="1Char"/>
          <w:rFonts w:ascii="黑体" w:eastAsia="黑体" w:hAnsi="黑体"/>
          <w:bCs/>
        </w:rPr>
      </w:pPr>
      <w:r>
        <w:rPr>
          <w:rFonts w:ascii="黑体" w:eastAsia="黑体" w:hAnsi="黑体" w:hint="eastAsia"/>
          <w:b w:val="0"/>
        </w:rPr>
        <w:lastRenderedPageBreak/>
        <w:t>第二部分 2022年度</w:t>
      </w:r>
      <w:r w:rsidR="00E12603">
        <w:rPr>
          <w:rStyle w:val="1Char"/>
          <w:rFonts w:ascii="黑体" w:eastAsia="黑体" w:hAnsi="黑体" w:hint="eastAsia"/>
          <w:bCs/>
        </w:rPr>
        <w:t>部门</w:t>
      </w:r>
      <w:r>
        <w:rPr>
          <w:rStyle w:val="1Char"/>
          <w:rFonts w:ascii="黑体" w:eastAsia="黑体" w:hAnsi="黑体" w:hint="eastAsia"/>
          <w:bCs/>
        </w:rPr>
        <w:t>决算情况说明</w:t>
      </w:r>
      <w:bookmarkEnd w:id="16"/>
      <w:bookmarkEnd w:id="17"/>
    </w:p>
    <w:p w:rsidR="00BB1668" w:rsidRDefault="00BB1668"/>
    <w:p w:rsidR="00BB1668" w:rsidRDefault="00757F8E">
      <w:pPr>
        <w:pStyle w:val="a9"/>
        <w:numPr>
          <w:ilvl w:val="0"/>
          <w:numId w:val="2"/>
        </w:numPr>
        <w:spacing w:line="600" w:lineRule="exact"/>
        <w:ind w:firstLineChars="0"/>
        <w:outlineLvl w:val="1"/>
        <w:rPr>
          <w:rStyle w:val="2Char"/>
          <w:rFonts w:ascii="黑体" w:eastAsia="黑体" w:hAnsi="黑体"/>
          <w:b w:val="0"/>
        </w:rPr>
      </w:pPr>
      <w:bookmarkStart w:id="18" w:name="_Toc15396603"/>
      <w:bookmarkStart w:id="19" w:name="_Toc15377205"/>
      <w:r>
        <w:rPr>
          <w:rFonts w:ascii="黑体" w:eastAsia="黑体" w:hAnsi="黑体" w:hint="eastAsia"/>
          <w:sz w:val="32"/>
          <w:szCs w:val="32"/>
        </w:rPr>
        <w:t>收</w:t>
      </w:r>
      <w:r>
        <w:rPr>
          <w:rStyle w:val="2Char"/>
          <w:rFonts w:ascii="黑体" w:eastAsia="黑体" w:hAnsi="黑体" w:hint="eastAsia"/>
          <w:b w:val="0"/>
        </w:rPr>
        <w:t>入支出决算总体情况说明</w:t>
      </w:r>
      <w:bookmarkEnd w:id="18"/>
      <w:bookmarkEnd w:id="19"/>
    </w:p>
    <w:p w:rsidR="00BB1668" w:rsidRDefault="00757F8E">
      <w:pPr>
        <w:spacing w:line="600" w:lineRule="exact"/>
        <w:ind w:firstLineChars="200" w:firstLine="640"/>
        <w:rPr>
          <w:rFonts w:ascii="仿宋" w:eastAsia="仿宋" w:hAnsi="仿宋"/>
          <w:sz w:val="32"/>
          <w:szCs w:val="32"/>
        </w:rPr>
      </w:pPr>
      <w:r>
        <w:rPr>
          <w:rFonts w:ascii="仿宋" w:eastAsia="仿宋" w:hAnsi="仿宋" w:hint="eastAsia"/>
          <w:sz w:val="32"/>
          <w:szCs w:val="32"/>
        </w:rPr>
        <w:t>2022年度收、支总计680.20万元。与2021年（749.01万元）相比，收、支总计各减少68.81万元，下降9.19</w:t>
      </w:r>
      <w:r>
        <w:rPr>
          <w:rFonts w:ascii="仿宋" w:eastAsia="仿宋" w:hAnsi="仿宋"/>
          <w:sz w:val="32"/>
          <w:szCs w:val="32"/>
        </w:rPr>
        <w:t>%</w:t>
      </w:r>
      <w:r>
        <w:rPr>
          <w:rFonts w:ascii="仿宋" w:eastAsia="仿宋" w:hAnsi="仿宋" w:hint="eastAsia"/>
          <w:sz w:val="32"/>
          <w:szCs w:val="32"/>
        </w:rPr>
        <w:t>。主要变动原因是项目收支减少。</w:t>
      </w:r>
    </w:p>
    <w:p w:rsidR="00BB1668" w:rsidRDefault="00757F8E" w:rsidP="00BD6FD7">
      <w:pPr>
        <w:pStyle w:val="a0"/>
        <w:spacing w:before="93"/>
      </w:pPr>
      <w:r>
        <w:rPr>
          <w:rFonts w:hint="eastAsia"/>
        </w:rPr>
        <w:t>2022年收入支出决算总计变动情况图</w:t>
      </w:r>
    </w:p>
    <w:p w:rsidR="00BB1668" w:rsidRDefault="00757F8E" w:rsidP="00BD6FD7">
      <w:pPr>
        <w:pStyle w:val="a0"/>
        <w:spacing w:before="93"/>
      </w:pPr>
      <w:r>
        <w:rPr>
          <w:rFonts w:hint="eastAsia"/>
          <w:noProof/>
        </w:rPr>
        <w:drawing>
          <wp:inline distT="0" distB="0" distL="114300" distR="114300">
            <wp:extent cx="5256530" cy="2988310"/>
            <wp:effectExtent l="5080" t="4445" r="15240" b="1714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B1668" w:rsidRDefault="00BB1668" w:rsidP="00BD6FD7">
      <w:pPr>
        <w:pStyle w:val="a0"/>
        <w:spacing w:before="93"/>
      </w:pPr>
    </w:p>
    <w:p w:rsidR="00BB1668" w:rsidRDefault="00757F8E">
      <w:pPr>
        <w:pStyle w:val="a9"/>
        <w:numPr>
          <w:ilvl w:val="0"/>
          <w:numId w:val="2"/>
        </w:numPr>
        <w:spacing w:line="600" w:lineRule="exact"/>
        <w:ind w:firstLineChars="0"/>
        <w:outlineLvl w:val="1"/>
        <w:rPr>
          <w:rStyle w:val="2Char"/>
          <w:rFonts w:ascii="黑体" w:eastAsia="黑体" w:hAnsi="黑体"/>
          <w:b w:val="0"/>
        </w:rPr>
      </w:pPr>
      <w:bookmarkStart w:id="20" w:name="_Toc15377206"/>
      <w:bookmarkStart w:id="21" w:name="_Toc15396604"/>
      <w:r>
        <w:rPr>
          <w:rFonts w:ascii="黑体" w:eastAsia="黑体" w:hAnsi="黑体" w:hint="eastAsia"/>
          <w:sz w:val="32"/>
          <w:szCs w:val="32"/>
        </w:rPr>
        <w:t>收</w:t>
      </w:r>
      <w:r>
        <w:rPr>
          <w:rStyle w:val="2Char"/>
          <w:rFonts w:ascii="黑体" w:eastAsia="黑体" w:hAnsi="黑体" w:hint="eastAsia"/>
          <w:b w:val="0"/>
        </w:rPr>
        <w:t>入决算情况说明</w:t>
      </w:r>
      <w:bookmarkEnd w:id="20"/>
      <w:bookmarkEnd w:id="21"/>
    </w:p>
    <w:p w:rsidR="00BB1668" w:rsidRDefault="00757F8E">
      <w:pPr>
        <w:spacing w:line="600" w:lineRule="exact"/>
        <w:ind w:firstLineChars="200" w:firstLine="640"/>
        <w:outlineLvl w:val="1"/>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22年本年收入合计680.20万元，其中：一般公共预算财政拨款收入680.20万元，占100</w:t>
      </w:r>
      <w:r>
        <w:rPr>
          <w:rFonts w:ascii="仿宋" w:eastAsia="仿宋" w:hAnsi="仿宋"/>
          <w:sz w:val="32"/>
          <w:szCs w:val="32"/>
        </w:rPr>
        <w:t>%</w:t>
      </w:r>
      <w:r>
        <w:rPr>
          <w:rFonts w:ascii="仿宋" w:eastAsia="仿宋" w:hAnsi="仿宋" w:hint="eastAsia"/>
          <w:sz w:val="32"/>
          <w:szCs w:val="32"/>
        </w:rPr>
        <w:t>；政府性基金预算财政拨款收入0万元；国有资本经营预算财政拨款收入0万元，；上级补助收入0万元；事业收入0万元；经营收入0万元；附属单位上缴收入0万元、；其他收入0万元</w:t>
      </w:r>
      <w:r>
        <w:rPr>
          <w:rFonts w:ascii="仿宋" w:eastAsia="仿宋" w:hAnsi="仿宋"/>
          <w:sz w:val="32"/>
          <w:szCs w:val="32"/>
        </w:rPr>
        <w:t>%</w:t>
      </w:r>
      <w:r>
        <w:rPr>
          <w:rFonts w:ascii="仿宋" w:eastAsia="仿宋" w:hAnsi="仿宋" w:hint="eastAsia"/>
          <w:sz w:val="32"/>
          <w:szCs w:val="32"/>
        </w:rPr>
        <w:t>。</w:t>
      </w:r>
    </w:p>
    <w:p w:rsidR="00BB1668" w:rsidRDefault="00757F8E" w:rsidP="00BD6FD7">
      <w:pPr>
        <w:pStyle w:val="a0"/>
        <w:spacing w:before="93"/>
        <w:rPr>
          <w:rFonts w:eastAsia="仿宋"/>
        </w:rPr>
      </w:pPr>
      <w:r>
        <w:rPr>
          <w:rFonts w:eastAsia="仿宋" w:hint="eastAsia"/>
          <w:noProof/>
        </w:rPr>
        <w:lastRenderedPageBreak/>
        <w:drawing>
          <wp:inline distT="0" distB="0" distL="114300" distR="114300">
            <wp:extent cx="5256530" cy="2988310"/>
            <wp:effectExtent l="5080" t="4445" r="15240" b="1714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B1668" w:rsidRDefault="00757F8E">
      <w:pPr>
        <w:pStyle w:val="a9"/>
        <w:numPr>
          <w:ilvl w:val="0"/>
          <w:numId w:val="2"/>
        </w:numPr>
        <w:spacing w:line="600" w:lineRule="exact"/>
        <w:ind w:firstLineChars="0"/>
        <w:outlineLvl w:val="1"/>
        <w:rPr>
          <w:rStyle w:val="2Char"/>
          <w:rFonts w:ascii="黑体" w:eastAsia="黑体" w:hAnsi="黑体"/>
          <w:b w:val="0"/>
        </w:rPr>
      </w:pPr>
      <w:bookmarkStart w:id="22" w:name="_Toc15396605"/>
      <w:bookmarkStart w:id="23" w:name="_Toc15377207"/>
      <w:r>
        <w:rPr>
          <w:rFonts w:ascii="黑体" w:eastAsia="黑体" w:hAnsi="黑体" w:hint="eastAsia"/>
          <w:sz w:val="32"/>
          <w:szCs w:val="32"/>
        </w:rPr>
        <w:t>支</w:t>
      </w:r>
      <w:r>
        <w:rPr>
          <w:rStyle w:val="2Char"/>
          <w:rFonts w:ascii="黑体" w:eastAsia="黑体" w:hAnsi="黑体" w:hint="eastAsia"/>
          <w:b w:val="0"/>
        </w:rPr>
        <w:t>出决算情况说明</w:t>
      </w:r>
      <w:bookmarkEnd w:id="22"/>
      <w:bookmarkEnd w:id="23"/>
    </w:p>
    <w:p w:rsidR="00BB1668" w:rsidRDefault="00757F8E">
      <w:pPr>
        <w:spacing w:line="600" w:lineRule="exact"/>
        <w:ind w:firstLineChars="200" w:firstLine="640"/>
        <w:outlineLvl w:val="1"/>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22年本年支出合计680.20万元，其中：基本支出614.16万元，占90.29</w:t>
      </w:r>
      <w:r>
        <w:rPr>
          <w:rFonts w:ascii="仿宋" w:eastAsia="仿宋" w:hAnsi="仿宋"/>
          <w:sz w:val="32"/>
          <w:szCs w:val="32"/>
        </w:rPr>
        <w:t>%</w:t>
      </w:r>
      <w:r>
        <w:rPr>
          <w:rFonts w:ascii="仿宋" w:eastAsia="仿宋" w:hAnsi="仿宋" w:hint="eastAsia"/>
          <w:sz w:val="32"/>
          <w:szCs w:val="32"/>
        </w:rPr>
        <w:t>；项目支出66.04万元，占9.71</w:t>
      </w:r>
      <w:r>
        <w:rPr>
          <w:rFonts w:ascii="仿宋" w:eastAsia="仿宋" w:hAnsi="仿宋"/>
          <w:sz w:val="32"/>
          <w:szCs w:val="32"/>
        </w:rPr>
        <w:t>%</w:t>
      </w:r>
      <w:r>
        <w:rPr>
          <w:rFonts w:ascii="仿宋" w:eastAsia="仿宋" w:hAnsi="仿宋" w:hint="eastAsia"/>
          <w:sz w:val="32"/>
          <w:szCs w:val="32"/>
        </w:rPr>
        <w:t>；上缴上级支出0万元；经营支出0万元；对附属单位补助支出0万元0。</w:t>
      </w:r>
    </w:p>
    <w:p w:rsidR="00BB1668" w:rsidRDefault="00757F8E" w:rsidP="00BD6FD7">
      <w:pPr>
        <w:pStyle w:val="a0"/>
        <w:spacing w:before="93"/>
        <w:rPr>
          <w:rFonts w:eastAsia="仿宋"/>
        </w:rPr>
      </w:pPr>
      <w:r>
        <w:rPr>
          <w:rFonts w:eastAsia="仿宋" w:hint="eastAsia"/>
          <w:noProof/>
        </w:rPr>
        <w:drawing>
          <wp:inline distT="0" distB="0" distL="114300" distR="114300">
            <wp:extent cx="5256530" cy="2988310"/>
            <wp:effectExtent l="5080" t="4445" r="15240" b="1714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B1668" w:rsidRDefault="00757F8E">
      <w:pPr>
        <w:spacing w:line="600" w:lineRule="exact"/>
        <w:ind w:firstLineChars="200" w:firstLine="640"/>
        <w:outlineLvl w:val="1"/>
        <w:rPr>
          <w:rStyle w:val="2Char"/>
          <w:rFonts w:ascii="黑体" w:eastAsia="黑体" w:hAnsi="黑体"/>
          <w:b w:val="0"/>
        </w:rPr>
      </w:pPr>
      <w:bookmarkStart w:id="24" w:name="_Toc15377208"/>
      <w:bookmarkStart w:id="25" w:name="_Toc15396606"/>
      <w:r>
        <w:rPr>
          <w:rFonts w:ascii="黑体" w:eastAsia="黑体" w:hAnsi="黑体" w:hint="eastAsia"/>
          <w:sz w:val="32"/>
          <w:szCs w:val="32"/>
        </w:rPr>
        <w:t>四、财</w:t>
      </w:r>
      <w:r>
        <w:rPr>
          <w:rStyle w:val="2Char"/>
          <w:rFonts w:ascii="黑体" w:eastAsia="黑体" w:hAnsi="黑体" w:hint="eastAsia"/>
          <w:b w:val="0"/>
        </w:rPr>
        <w:t>政拨款收入支出决算总体情况说明</w:t>
      </w:r>
      <w:bookmarkEnd w:id="24"/>
      <w:bookmarkEnd w:id="25"/>
    </w:p>
    <w:p w:rsidR="00BB1668" w:rsidRDefault="00757F8E" w:rsidP="00BD6FD7">
      <w:pPr>
        <w:pStyle w:val="a0"/>
        <w:spacing w:before="93"/>
        <w:ind w:firstLineChars="200" w:firstLine="640"/>
        <w:rPr>
          <w:rFonts w:ascii="仿宋" w:eastAsia="仿宋" w:hAnsi="仿宋"/>
          <w:sz w:val="32"/>
          <w:szCs w:val="32"/>
        </w:rPr>
      </w:pPr>
      <w:r>
        <w:rPr>
          <w:rFonts w:ascii="仿宋" w:eastAsia="仿宋" w:hAnsi="仿宋"/>
          <w:sz w:val="32"/>
          <w:szCs w:val="32"/>
        </w:rPr>
        <w:lastRenderedPageBreak/>
        <w:t>20</w:t>
      </w:r>
      <w:r>
        <w:rPr>
          <w:rFonts w:ascii="仿宋" w:eastAsia="仿宋" w:hAnsi="仿宋" w:hint="eastAsia"/>
          <w:sz w:val="32"/>
          <w:szCs w:val="32"/>
        </w:rPr>
        <w:t>22年财政拨款收、支总计680.20万元。与</w:t>
      </w:r>
      <w:r>
        <w:rPr>
          <w:rFonts w:ascii="仿宋" w:eastAsia="仿宋" w:hAnsi="仿宋"/>
          <w:sz w:val="32"/>
          <w:szCs w:val="32"/>
        </w:rPr>
        <w:t>20</w:t>
      </w:r>
      <w:r>
        <w:rPr>
          <w:rFonts w:ascii="仿宋" w:eastAsia="仿宋" w:hAnsi="仿宋" w:hint="eastAsia"/>
          <w:sz w:val="32"/>
          <w:szCs w:val="32"/>
        </w:rPr>
        <w:t>21年相比，财政拨款收、支总计各减少68.81万元，下降9.19</w:t>
      </w:r>
      <w:r>
        <w:rPr>
          <w:rFonts w:ascii="仿宋" w:eastAsia="仿宋" w:hAnsi="仿宋"/>
          <w:sz w:val="32"/>
          <w:szCs w:val="32"/>
        </w:rPr>
        <w:t>%</w:t>
      </w:r>
      <w:r>
        <w:rPr>
          <w:rFonts w:ascii="仿宋" w:eastAsia="仿宋" w:hAnsi="仿宋" w:hint="eastAsia"/>
          <w:sz w:val="32"/>
          <w:szCs w:val="32"/>
        </w:rPr>
        <w:t>。主要变动原因是项目收支减少。</w:t>
      </w:r>
    </w:p>
    <w:p w:rsidR="00BB1668" w:rsidRDefault="00757F8E" w:rsidP="00BD6FD7">
      <w:pPr>
        <w:pStyle w:val="a0"/>
        <w:spacing w:before="93"/>
        <w:ind w:firstLineChars="200" w:firstLine="600"/>
        <w:rPr>
          <w:rFonts w:ascii="仿宋" w:eastAsia="仿宋" w:hAnsi="仿宋"/>
          <w:sz w:val="32"/>
          <w:szCs w:val="32"/>
        </w:rPr>
      </w:pPr>
      <w:r>
        <w:rPr>
          <w:rFonts w:hint="eastAsia"/>
          <w:noProof/>
        </w:rPr>
        <w:drawing>
          <wp:inline distT="0" distB="0" distL="114300" distR="114300">
            <wp:extent cx="5256530" cy="2988310"/>
            <wp:effectExtent l="5080" t="4445" r="15240" b="1714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B1668" w:rsidRDefault="00BB1668">
      <w:pPr>
        <w:spacing w:line="600" w:lineRule="exact"/>
        <w:ind w:firstLine="640"/>
        <w:rPr>
          <w:rFonts w:ascii="仿宋" w:eastAsia="仿宋" w:hAnsi="仿宋"/>
          <w:sz w:val="32"/>
          <w:szCs w:val="32"/>
        </w:rPr>
      </w:pPr>
    </w:p>
    <w:p w:rsidR="00BB1668" w:rsidRDefault="00757F8E">
      <w:pPr>
        <w:spacing w:line="600" w:lineRule="exact"/>
        <w:ind w:firstLineChars="200" w:firstLine="640"/>
        <w:outlineLvl w:val="1"/>
        <w:rPr>
          <w:rStyle w:val="2Char"/>
          <w:rFonts w:ascii="黑体" w:eastAsia="黑体" w:hAnsi="黑体"/>
          <w:b w:val="0"/>
        </w:rPr>
      </w:pPr>
      <w:bookmarkStart w:id="26" w:name="_Toc15377209"/>
      <w:bookmarkStart w:id="27" w:name="_Toc15396607"/>
      <w:r>
        <w:rPr>
          <w:rFonts w:ascii="黑体" w:eastAsia="黑体" w:hAnsi="黑体" w:hint="eastAsia"/>
          <w:sz w:val="32"/>
          <w:szCs w:val="32"/>
        </w:rPr>
        <w:t>五、</w:t>
      </w:r>
      <w:r>
        <w:rPr>
          <w:rFonts w:ascii="黑体" w:eastAsia="黑体" w:hAnsi="黑体" w:hint="eastAsia"/>
          <w:b/>
          <w:sz w:val="32"/>
          <w:szCs w:val="32"/>
        </w:rPr>
        <w:t>一</w:t>
      </w:r>
      <w:r>
        <w:rPr>
          <w:rStyle w:val="2Char"/>
          <w:rFonts w:ascii="黑体" w:eastAsia="黑体" w:hAnsi="黑体" w:hint="eastAsia"/>
          <w:b w:val="0"/>
        </w:rPr>
        <w:t>般公共预算财政拨款支出决算情况说明</w:t>
      </w:r>
      <w:bookmarkEnd w:id="26"/>
      <w:bookmarkEnd w:id="27"/>
    </w:p>
    <w:p w:rsidR="00BB1668" w:rsidRDefault="00757F8E">
      <w:pPr>
        <w:spacing w:line="600" w:lineRule="exact"/>
        <w:ind w:firstLineChars="200" w:firstLine="643"/>
        <w:outlineLvl w:val="2"/>
        <w:rPr>
          <w:rFonts w:ascii="仿宋" w:eastAsia="仿宋" w:hAnsi="仿宋"/>
          <w:b/>
          <w:sz w:val="32"/>
          <w:szCs w:val="32"/>
        </w:rPr>
      </w:pPr>
      <w:bookmarkStart w:id="28" w:name="_Toc15377210"/>
      <w:r>
        <w:rPr>
          <w:rFonts w:ascii="仿宋" w:eastAsia="仿宋" w:hAnsi="仿宋" w:hint="eastAsia"/>
          <w:b/>
          <w:sz w:val="32"/>
          <w:szCs w:val="32"/>
        </w:rPr>
        <w:t>（一）一般公共预算财政拨款支出决算总体情况</w:t>
      </w:r>
      <w:bookmarkEnd w:id="28"/>
    </w:p>
    <w:p w:rsidR="00BB1668" w:rsidRDefault="00757F8E">
      <w:pPr>
        <w:spacing w:line="600" w:lineRule="exact"/>
        <w:ind w:firstLineChars="200"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22年一般公共预算财政拨款支出680.20万元，占本年支出合计的100</w:t>
      </w:r>
      <w:r>
        <w:rPr>
          <w:rFonts w:ascii="仿宋" w:eastAsia="仿宋" w:hAnsi="仿宋"/>
          <w:sz w:val="32"/>
          <w:szCs w:val="32"/>
        </w:rPr>
        <w:t>%</w:t>
      </w:r>
      <w:r>
        <w:rPr>
          <w:rFonts w:ascii="仿宋" w:eastAsia="仿宋" w:hAnsi="仿宋" w:hint="eastAsia"/>
          <w:sz w:val="32"/>
          <w:szCs w:val="32"/>
        </w:rPr>
        <w:t>。与</w:t>
      </w:r>
      <w:r>
        <w:rPr>
          <w:rFonts w:ascii="仿宋" w:eastAsia="仿宋" w:hAnsi="仿宋"/>
          <w:sz w:val="32"/>
          <w:szCs w:val="32"/>
        </w:rPr>
        <w:t>20</w:t>
      </w:r>
      <w:r>
        <w:rPr>
          <w:rFonts w:ascii="仿宋" w:eastAsia="仿宋" w:hAnsi="仿宋" w:hint="eastAsia"/>
          <w:sz w:val="32"/>
          <w:szCs w:val="32"/>
        </w:rPr>
        <w:t>21年相比，一般公共预算财政拨款支出68.81万元，下降9.19</w:t>
      </w:r>
      <w:r>
        <w:rPr>
          <w:rFonts w:ascii="仿宋" w:eastAsia="仿宋" w:hAnsi="仿宋"/>
          <w:sz w:val="32"/>
          <w:szCs w:val="32"/>
        </w:rPr>
        <w:t>%</w:t>
      </w:r>
      <w:r>
        <w:rPr>
          <w:rFonts w:ascii="仿宋" w:eastAsia="仿宋" w:hAnsi="仿宋" w:hint="eastAsia"/>
          <w:sz w:val="32"/>
          <w:szCs w:val="32"/>
        </w:rPr>
        <w:t>。主要变动原因是项目支出减少。</w:t>
      </w:r>
    </w:p>
    <w:p w:rsidR="00BB1668" w:rsidRDefault="00757F8E" w:rsidP="00BD6FD7">
      <w:pPr>
        <w:pStyle w:val="a0"/>
        <w:spacing w:before="93"/>
      </w:pPr>
      <w:r>
        <w:rPr>
          <w:rFonts w:hint="eastAsia"/>
          <w:noProof/>
        </w:rPr>
        <w:lastRenderedPageBreak/>
        <w:drawing>
          <wp:inline distT="0" distB="0" distL="114300" distR="114300">
            <wp:extent cx="5256530" cy="2988310"/>
            <wp:effectExtent l="5080" t="4445" r="15240" b="1714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B1668" w:rsidRDefault="00757F8E">
      <w:pPr>
        <w:spacing w:line="600" w:lineRule="exact"/>
        <w:ind w:firstLineChars="200" w:firstLine="643"/>
        <w:outlineLvl w:val="2"/>
        <w:rPr>
          <w:rFonts w:ascii="仿宋" w:eastAsia="仿宋" w:hAnsi="仿宋"/>
          <w:b/>
          <w:sz w:val="32"/>
          <w:szCs w:val="32"/>
        </w:rPr>
      </w:pPr>
      <w:bookmarkStart w:id="29" w:name="_Toc15377211"/>
      <w:r>
        <w:rPr>
          <w:rFonts w:ascii="仿宋" w:eastAsia="仿宋" w:hAnsi="仿宋" w:hint="eastAsia"/>
          <w:b/>
          <w:sz w:val="32"/>
          <w:szCs w:val="32"/>
        </w:rPr>
        <w:t>（二）一般公共预算财政拨款支出决算结构情况</w:t>
      </w:r>
      <w:bookmarkEnd w:id="29"/>
    </w:p>
    <w:p w:rsidR="00BB1668" w:rsidRDefault="00757F8E">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22年一般公共预算财政拨款支出680.20万元，主要用于以下方面</w:t>
      </w:r>
      <w:r>
        <w:rPr>
          <w:rFonts w:ascii="仿宋" w:eastAsia="仿宋" w:hAnsi="仿宋"/>
          <w:sz w:val="32"/>
          <w:szCs w:val="32"/>
        </w:rPr>
        <w:t>:</w:t>
      </w:r>
      <w:r>
        <w:rPr>
          <w:rFonts w:ascii="仿宋" w:eastAsia="仿宋" w:hAnsi="仿宋" w:hint="eastAsia"/>
          <w:b/>
          <w:sz w:val="32"/>
          <w:szCs w:val="32"/>
        </w:rPr>
        <w:t>一般公共服务</w:t>
      </w:r>
      <w:r>
        <w:rPr>
          <w:rFonts w:ascii="仿宋" w:eastAsia="仿宋" w:hAnsi="仿宋" w:hint="eastAsia"/>
          <w:b/>
          <w:bCs/>
          <w:sz w:val="32"/>
          <w:szCs w:val="32"/>
        </w:rPr>
        <w:t>支出</w:t>
      </w:r>
      <w:r>
        <w:rPr>
          <w:rFonts w:ascii="仿宋" w:eastAsia="仿宋" w:hAnsi="仿宋" w:hint="eastAsia"/>
          <w:sz w:val="32"/>
          <w:szCs w:val="32"/>
        </w:rPr>
        <w:t>0万元；</w:t>
      </w:r>
      <w:r>
        <w:rPr>
          <w:rFonts w:ascii="仿宋" w:eastAsia="仿宋" w:hAnsi="仿宋" w:hint="eastAsia"/>
          <w:b/>
          <w:sz w:val="32"/>
          <w:szCs w:val="32"/>
        </w:rPr>
        <w:t>教育支出</w:t>
      </w:r>
      <w:r>
        <w:rPr>
          <w:rFonts w:ascii="仿宋" w:eastAsia="仿宋" w:hAnsi="仿宋" w:hint="eastAsia"/>
          <w:sz w:val="32"/>
          <w:szCs w:val="32"/>
        </w:rPr>
        <w:t>512.49万元，占75.3</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sz w:val="32"/>
          <w:szCs w:val="32"/>
        </w:rPr>
        <w:t>科学技术</w:t>
      </w:r>
      <w:r>
        <w:rPr>
          <w:rFonts w:ascii="仿宋" w:eastAsia="仿宋" w:hAnsi="仿宋" w:hint="eastAsia"/>
          <w:b/>
          <w:bCs/>
          <w:sz w:val="32"/>
          <w:szCs w:val="32"/>
        </w:rPr>
        <w:t>支出</w:t>
      </w:r>
      <w:r>
        <w:rPr>
          <w:rFonts w:ascii="仿宋" w:eastAsia="仿宋" w:hAnsi="仿宋" w:hint="eastAsia"/>
          <w:sz w:val="32"/>
          <w:szCs w:val="32"/>
        </w:rPr>
        <w:t>0万元</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文化旅游体育与传媒支出0万元</w:t>
      </w:r>
      <w:r>
        <w:rPr>
          <w:rFonts w:ascii="仿宋" w:eastAsia="仿宋" w:hAnsi="仿宋"/>
          <w:b/>
          <w:bCs/>
          <w:sz w:val="32"/>
          <w:szCs w:val="32"/>
        </w:rPr>
        <w:t>%</w:t>
      </w:r>
      <w:r>
        <w:rPr>
          <w:rFonts w:ascii="仿宋" w:eastAsia="仿宋" w:hAnsi="仿宋" w:hint="eastAsia"/>
          <w:sz w:val="32"/>
          <w:szCs w:val="32"/>
        </w:rPr>
        <w:t>；</w:t>
      </w:r>
      <w:r>
        <w:rPr>
          <w:rFonts w:ascii="仿宋" w:eastAsia="仿宋" w:hAnsi="仿宋" w:hint="eastAsia"/>
          <w:b/>
          <w:sz w:val="32"/>
          <w:szCs w:val="32"/>
        </w:rPr>
        <w:t>社会保障和就业</w:t>
      </w:r>
      <w:r>
        <w:rPr>
          <w:rFonts w:ascii="仿宋" w:eastAsia="仿宋" w:hAnsi="仿宋" w:hint="eastAsia"/>
          <w:b/>
          <w:bCs/>
          <w:sz w:val="32"/>
          <w:szCs w:val="32"/>
        </w:rPr>
        <w:t>支出</w:t>
      </w:r>
      <w:r>
        <w:rPr>
          <w:rFonts w:ascii="仿宋" w:eastAsia="仿宋" w:hAnsi="仿宋" w:hint="eastAsia"/>
          <w:sz w:val="32"/>
          <w:szCs w:val="32"/>
        </w:rPr>
        <w:t>53.68万元，7.9</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卫生健康支出</w:t>
      </w:r>
      <w:r>
        <w:rPr>
          <w:rFonts w:ascii="仿宋" w:eastAsia="仿宋" w:hAnsi="仿宋" w:hint="eastAsia"/>
          <w:sz w:val="32"/>
          <w:szCs w:val="32"/>
        </w:rPr>
        <w:t>22.77万元，占3.3</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住房保障支出</w:t>
      </w:r>
      <w:r>
        <w:rPr>
          <w:rFonts w:ascii="仿宋" w:eastAsia="仿宋" w:hAnsi="仿宋" w:hint="eastAsia"/>
          <w:sz w:val="32"/>
          <w:szCs w:val="32"/>
        </w:rPr>
        <w:t>30.78万元，占4.5，灾害防治及应急管理支出60.48，占9%。</w:t>
      </w:r>
    </w:p>
    <w:p w:rsidR="00BB1668" w:rsidRDefault="00757F8E" w:rsidP="00BD6FD7">
      <w:pPr>
        <w:pStyle w:val="a0"/>
        <w:spacing w:before="93"/>
        <w:rPr>
          <w:rFonts w:eastAsia="仿宋"/>
        </w:rPr>
      </w:pPr>
      <w:r>
        <w:rPr>
          <w:rFonts w:eastAsia="仿宋" w:hint="eastAsia"/>
          <w:noProof/>
        </w:rPr>
        <w:lastRenderedPageBreak/>
        <w:drawing>
          <wp:inline distT="0" distB="0" distL="114300" distR="114300">
            <wp:extent cx="5256530" cy="2988310"/>
            <wp:effectExtent l="5080" t="4445" r="15240" b="1714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B1668" w:rsidRDefault="00757F8E">
      <w:pPr>
        <w:spacing w:line="600" w:lineRule="exact"/>
        <w:ind w:firstLineChars="200" w:firstLine="643"/>
        <w:outlineLvl w:val="2"/>
        <w:rPr>
          <w:rFonts w:ascii="仿宋" w:eastAsia="仿宋" w:hAnsi="仿宋"/>
          <w:b/>
          <w:sz w:val="32"/>
          <w:szCs w:val="32"/>
        </w:rPr>
      </w:pPr>
      <w:bookmarkStart w:id="30" w:name="_Toc15377212"/>
      <w:r>
        <w:rPr>
          <w:rFonts w:ascii="仿宋" w:eastAsia="仿宋" w:hAnsi="仿宋" w:hint="eastAsia"/>
          <w:b/>
          <w:sz w:val="32"/>
          <w:szCs w:val="32"/>
        </w:rPr>
        <w:t>（三）一般公共预算财政拨款支出决算具体情况</w:t>
      </w:r>
      <w:bookmarkEnd w:id="30"/>
    </w:p>
    <w:p w:rsidR="00BB1668" w:rsidRDefault="00757F8E">
      <w:pPr>
        <w:spacing w:line="600" w:lineRule="exact"/>
        <w:ind w:firstLineChars="200" w:firstLine="643"/>
        <w:outlineLvl w:val="2"/>
        <w:rPr>
          <w:rStyle w:val="a7"/>
          <w:rFonts w:ascii="仿宋" w:eastAsia="仿宋" w:hAnsi="仿宋"/>
          <w:bCs/>
          <w:sz w:val="32"/>
          <w:szCs w:val="32"/>
        </w:rPr>
      </w:pPr>
      <w:bookmarkStart w:id="31" w:name="_Toc15377213"/>
      <w:bookmarkStart w:id="32" w:name="_Toc15378460"/>
      <w:bookmarkStart w:id="33" w:name="_Toc15377444"/>
      <w:r>
        <w:rPr>
          <w:rFonts w:ascii="仿宋" w:eastAsia="仿宋" w:hAnsi="仿宋" w:hint="eastAsia"/>
          <w:b/>
          <w:sz w:val="32"/>
          <w:szCs w:val="32"/>
        </w:rPr>
        <w:t>2022年一般公共预算支出决算数为680.2</w:t>
      </w:r>
      <w:r>
        <w:rPr>
          <w:rFonts w:ascii="仿宋" w:eastAsia="仿宋" w:hAnsi="仿宋" w:hint="eastAsia"/>
          <w:sz w:val="32"/>
          <w:szCs w:val="32"/>
        </w:rPr>
        <w:t>，</w:t>
      </w:r>
      <w:r>
        <w:rPr>
          <w:rStyle w:val="a7"/>
          <w:rFonts w:ascii="仿宋" w:eastAsia="仿宋" w:hAnsi="仿宋" w:hint="eastAsia"/>
          <w:bCs/>
          <w:sz w:val="32"/>
          <w:szCs w:val="32"/>
        </w:rPr>
        <w:t>完成预算100</w:t>
      </w:r>
      <w:r>
        <w:rPr>
          <w:rStyle w:val="a7"/>
          <w:rFonts w:ascii="仿宋" w:eastAsia="仿宋" w:hAnsi="仿宋"/>
          <w:bCs/>
          <w:sz w:val="32"/>
          <w:szCs w:val="32"/>
        </w:rPr>
        <w:t>%</w:t>
      </w:r>
      <w:r>
        <w:rPr>
          <w:rStyle w:val="a7"/>
          <w:rFonts w:ascii="仿宋" w:eastAsia="仿宋" w:hAnsi="仿宋" w:hint="eastAsia"/>
          <w:bCs/>
          <w:sz w:val="32"/>
          <w:szCs w:val="32"/>
        </w:rPr>
        <w:t>。其中：</w:t>
      </w:r>
      <w:bookmarkEnd w:id="31"/>
      <w:bookmarkEnd w:id="32"/>
      <w:bookmarkEnd w:id="33"/>
    </w:p>
    <w:p w:rsidR="00BB1668" w:rsidRDefault="00757F8E" w:rsidP="00BD6FD7">
      <w:pPr>
        <w:pStyle w:val="a0"/>
        <w:spacing w:before="93"/>
      </w:pPr>
      <w:r>
        <w:rPr>
          <w:rFonts w:ascii="仿宋" w:eastAsia="仿宋" w:hAnsi="仿宋"/>
          <w:sz w:val="32"/>
          <w:szCs w:val="32"/>
        </w:rPr>
        <w:t>20</w:t>
      </w:r>
      <w:r>
        <w:rPr>
          <w:rFonts w:ascii="仿宋" w:eastAsia="仿宋" w:hAnsi="仿宋" w:hint="eastAsia"/>
          <w:sz w:val="32"/>
          <w:szCs w:val="32"/>
        </w:rPr>
        <w:t>22年一般公共预算财政拨款支出680.20万元，主要用于以下方面</w:t>
      </w:r>
      <w:r>
        <w:rPr>
          <w:rFonts w:ascii="仿宋" w:eastAsia="仿宋" w:hAnsi="仿宋"/>
          <w:sz w:val="32"/>
          <w:szCs w:val="32"/>
        </w:rPr>
        <w:t>:</w:t>
      </w:r>
      <w:r>
        <w:rPr>
          <w:rFonts w:ascii="仿宋" w:eastAsia="仿宋" w:hAnsi="仿宋" w:hint="eastAsia"/>
          <w:b/>
          <w:sz w:val="32"/>
          <w:szCs w:val="32"/>
        </w:rPr>
        <w:t>一般公共服务</w:t>
      </w:r>
      <w:r>
        <w:rPr>
          <w:rFonts w:ascii="仿宋" w:eastAsia="仿宋" w:hAnsi="仿宋" w:hint="eastAsia"/>
          <w:b/>
          <w:bCs/>
          <w:sz w:val="32"/>
          <w:szCs w:val="32"/>
        </w:rPr>
        <w:t>支出</w:t>
      </w:r>
      <w:r>
        <w:rPr>
          <w:rFonts w:ascii="仿宋" w:eastAsia="仿宋" w:hAnsi="仿宋" w:hint="eastAsia"/>
          <w:sz w:val="32"/>
          <w:szCs w:val="32"/>
        </w:rPr>
        <w:t>0万元；</w:t>
      </w:r>
      <w:r>
        <w:rPr>
          <w:rFonts w:ascii="仿宋" w:eastAsia="仿宋" w:hAnsi="仿宋" w:hint="eastAsia"/>
          <w:b/>
          <w:sz w:val="32"/>
          <w:szCs w:val="32"/>
        </w:rPr>
        <w:t>教育支出</w:t>
      </w:r>
      <w:r>
        <w:rPr>
          <w:rFonts w:ascii="仿宋" w:eastAsia="仿宋" w:hAnsi="仿宋" w:hint="eastAsia"/>
          <w:sz w:val="32"/>
          <w:szCs w:val="32"/>
        </w:rPr>
        <w:t>512.49万元，占75.3</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sz w:val="32"/>
          <w:szCs w:val="32"/>
        </w:rPr>
        <w:t>科学技术</w:t>
      </w:r>
      <w:r>
        <w:rPr>
          <w:rFonts w:ascii="仿宋" w:eastAsia="仿宋" w:hAnsi="仿宋" w:hint="eastAsia"/>
          <w:b/>
          <w:bCs/>
          <w:sz w:val="32"/>
          <w:szCs w:val="32"/>
        </w:rPr>
        <w:t>支出</w:t>
      </w:r>
      <w:r>
        <w:rPr>
          <w:rFonts w:ascii="仿宋" w:eastAsia="仿宋" w:hAnsi="仿宋" w:hint="eastAsia"/>
          <w:sz w:val="32"/>
          <w:szCs w:val="32"/>
        </w:rPr>
        <w:t>0万元</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文化旅游体育与传媒支出0万元</w:t>
      </w:r>
      <w:r>
        <w:rPr>
          <w:rFonts w:ascii="仿宋" w:eastAsia="仿宋" w:hAnsi="仿宋"/>
          <w:b/>
          <w:bCs/>
          <w:sz w:val="32"/>
          <w:szCs w:val="32"/>
        </w:rPr>
        <w:t>%</w:t>
      </w:r>
      <w:r>
        <w:rPr>
          <w:rFonts w:ascii="仿宋" w:eastAsia="仿宋" w:hAnsi="仿宋" w:hint="eastAsia"/>
          <w:sz w:val="32"/>
          <w:szCs w:val="32"/>
        </w:rPr>
        <w:t>；</w:t>
      </w:r>
      <w:r>
        <w:rPr>
          <w:rFonts w:ascii="仿宋" w:eastAsia="仿宋" w:hAnsi="仿宋" w:hint="eastAsia"/>
          <w:b/>
          <w:sz w:val="32"/>
          <w:szCs w:val="32"/>
        </w:rPr>
        <w:t>社会保障和就业</w:t>
      </w:r>
      <w:r>
        <w:rPr>
          <w:rFonts w:ascii="仿宋" w:eastAsia="仿宋" w:hAnsi="仿宋" w:hint="eastAsia"/>
          <w:b/>
          <w:bCs/>
          <w:sz w:val="32"/>
          <w:szCs w:val="32"/>
        </w:rPr>
        <w:t>支出</w:t>
      </w:r>
      <w:r>
        <w:rPr>
          <w:rFonts w:ascii="仿宋" w:eastAsia="仿宋" w:hAnsi="仿宋" w:hint="eastAsia"/>
          <w:sz w:val="32"/>
          <w:szCs w:val="32"/>
        </w:rPr>
        <w:t>53.68万元，7.9</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卫生健康支出</w:t>
      </w:r>
      <w:r>
        <w:rPr>
          <w:rFonts w:ascii="仿宋" w:eastAsia="仿宋" w:hAnsi="仿宋" w:hint="eastAsia"/>
          <w:sz w:val="32"/>
          <w:szCs w:val="32"/>
        </w:rPr>
        <w:t>22.77万元，占3.3</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住房保障支出</w:t>
      </w:r>
      <w:r>
        <w:rPr>
          <w:rFonts w:ascii="仿宋" w:eastAsia="仿宋" w:hAnsi="仿宋" w:hint="eastAsia"/>
          <w:sz w:val="32"/>
          <w:szCs w:val="32"/>
        </w:rPr>
        <w:t>30.78万元，占4.5，灾害防治及应急管理支出60.48，占9%。</w:t>
      </w:r>
    </w:p>
    <w:p w:rsidR="00BB1668" w:rsidRDefault="00757F8E">
      <w:pPr>
        <w:spacing w:line="600" w:lineRule="exact"/>
        <w:ind w:firstLineChars="200" w:firstLine="643"/>
        <w:rPr>
          <w:rFonts w:ascii="仿宋" w:eastAsia="仿宋" w:hAnsi="仿宋"/>
          <w:b/>
          <w:sz w:val="32"/>
          <w:szCs w:val="32"/>
        </w:rPr>
      </w:pPr>
      <w:r>
        <w:rPr>
          <w:rStyle w:val="a7"/>
          <w:rFonts w:ascii="仿宋" w:eastAsia="仿宋" w:hAnsi="仿宋"/>
          <w:bCs/>
          <w:sz w:val="32"/>
          <w:szCs w:val="32"/>
        </w:rPr>
        <w:t>1.</w:t>
      </w:r>
      <w:r>
        <w:rPr>
          <w:rStyle w:val="a7"/>
          <w:rFonts w:ascii="仿宋" w:eastAsia="仿宋" w:hAnsi="仿宋" w:hint="eastAsia"/>
          <w:bCs/>
          <w:sz w:val="32"/>
          <w:szCs w:val="32"/>
        </w:rPr>
        <w:t>一般公共服务（类）</w:t>
      </w:r>
      <w:r>
        <w:rPr>
          <w:rStyle w:val="a7"/>
          <w:rFonts w:ascii="仿宋" w:eastAsia="仿宋" w:hAnsi="仿宋"/>
          <w:bCs/>
          <w:sz w:val="32"/>
          <w:szCs w:val="32"/>
        </w:rPr>
        <w:t>***</w:t>
      </w:r>
      <w:r>
        <w:rPr>
          <w:rStyle w:val="a7"/>
          <w:rFonts w:ascii="仿宋" w:eastAsia="仿宋" w:hAnsi="仿宋" w:hint="eastAsia"/>
          <w:bCs/>
          <w:sz w:val="32"/>
          <w:szCs w:val="32"/>
        </w:rPr>
        <w:t>（款）</w:t>
      </w:r>
      <w:r>
        <w:rPr>
          <w:rStyle w:val="a7"/>
          <w:rFonts w:ascii="仿宋" w:eastAsia="仿宋" w:hAnsi="仿宋"/>
          <w:bCs/>
          <w:sz w:val="32"/>
          <w:szCs w:val="32"/>
        </w:rPr>
        <w:t>***</w:t>
      </w:r>
      <w:r>
        <w:rPr>
          <w:rStyle w:val="a7"/>
          <w:rFonts w:ascii="仿宋" w:eastAsia="仿宋" w:hAnsi="仿宋" w:hint="eastAsia"/>
          <w:bCs/>
          <w:sz w:val="32"/>
          <w:szCs w:val="32"/>
        </w:rPr>
        <w:t>（项）</w:t>
      </w:r>
      <w:r>
        <w:rPr>
          <w:rStyle w:val="a7"/>
          <w:rFonts w:ascii="仿宋" w:eastAsia="仿宋" w:hAnsi="仿宋"/>
          <w:bCs/>
          <w:sz w:val="32"/>
          <w:szCs w:val="32"/>
        </w:rPr>
        <w:t>:</w:t>
      </w:r>
      <w:r>
        <w:rPr>
          <w:rStyle w:val="a7"/>
          <w:rFonts w:ascii="仿宋" w:eastAsia="仿宋" w:hAnsi="仿宋" w:hint="eastAsia"/>
          <w:b w:val="0"/>
          <w:bCs/>
          <w:sz w:val="32"/>
          <w:szCs w:val="32"/>
        </w:rPr>
        <w:t>支出决算为0万元，决算数等于预算数。</w:t>
      </w:r>
    </w:p>
    <w:p w:rsidR="00BB1668" w:rsidRDefault="00757F8E">
      <w:pPr>
        <w:spacing w:line="600" w:lineRule="exact"/>
        <w:ind w:firstLineChars="200" w:firstLine="643"/>
        <w:rPr>
          <w:rFonts w:ascii="仿宋" w:eastAsia="仿宋" w:hAnsi="仿宋"/>
          <w:b/>
          <w:sz w:val="32"/>
          <w:szCs w:val="32"/>
        </w:rPr>
      </w:pPr>
      <w:r>
        <w:rPr>
          <w:rStyle w:val="a7"/>
          <w:rFonts w:ascii="仿宋" w:eastAsia="仿宋" w:hAnsi="仿宋"/>
          <w:bCs/>
          <w:sz w:val="32"/>
          <w:szCs w:val="32"/>
        </w:rPr>
        <w:t>2.</w:t>
      </w:r>
      <w:r>
        <w:rPr>
          <w:rStyle w:val="a7"/>
          <w:rFonts w:ascii="仿宋" w:eastAsia="仿宋" w:hAnsi="仿宋" w:hint="eastAsia"/>
          <w:bCs/>
          <w:sz w:val="32"/>
          <w:szCs w:val="32"/>
        </w:rPr>
        <w:t>教育（类）特殊教育（款）特殊学校教育（项）</w:t>
      </w:r>
      <w:r>
        <w:rPr>
          <w:rStyle w:val="a7"/>
          <w:rFonts w:ascii="仿宋" w:eastAsia="仿宋" w:hAnsi="仿宋"/>
          <w:bCs/>
          <w:sz w:val="32"/>
          <w:szCs w:val="32"/>
        </w:rPr>
        <w:t>:</w:t>
      </w:r>
      <w:r>
        <w:rPr>
          <w:rStyle w:val="a7"/>
          <w:rFonts w:ascii="仿宋" w:eastAsia="仿宋" w:hAnsi="仿宋" w:hint="eastAsia"/>
          <w:b w:val="0"/>
          <w:bCs/>
          <w:sz w:val="32"/>
          <w:szCs w:val="32"/>
        </w:rPr>
        <w:t>支出决算为</w:t>
      </w:r>
      <w:r>
        <w:rPr>
          <w:rFonts w:ascii="仿宋" w:eastAsia="仿宋" w:hAnsi="仿宋" w:hint="eastAsia"/>
          <w:sz w:val="32"/>
          <w:szCs w:val="32"/>
        </w:rPr>
        <w:t>512.49</w:t>
      </w:r>
      <w:r>
        <w:rPr>
          <w:rStyle w:val="a7"/>
          <w:rFonts w:ascii="仿宋" w:eastAsia="仿宋" w:hAnsi="仿宋" w:hint="eastAsia"/>
          <w:b w:val="0"/>
          <w:bCs/>
          <w:sz w:val="32"/>
          <w:szCs w:val="32"/>
        </w:rPr>
        <w:t>万元，完成预算</w:t>
      </w:r>
      <w:r>
        <w:rPr>
          <w:rFonts w:ascii="仿宋" w:eastAsia="仿宋" w:hAnsi="仿宋" w:hint="eastAsia"/>
          <w:sz w:val="32"/>
          <w:szCs w:val="32"/>
        </w:rPr>
        <w:t>75.3</w:t>
      </w:r>
      <w:r>
        <w:rPr>
          <w:rStyle w:val="a7"/>
          <w:rFonts w:ascii="仿宋" w:eastAsia="仿宋" w:hAnsi="仿宋"/>
          <w:b w:val="0"/>
          <w:bCs/>
          <w:sz w:val="32"/>
          <w:szCs w:val="32"/>
        </w:rPr>
        <w:t>%</w:t>
      </w:r>
      <w:r>
        <w:rPr>
          <w:rStyle w:val="a7"/>
          <w:rFonts w:ascii="仿宋" w:eastAsia="仿宋" w:hAnsi="仿宋" w:hint="eastAsia"/>
          <w:b w:val="0"/>
          <w:bCs/>
          <w:sz w:val="32"/>
          <w:szCs w:val="32"/>
        </w:rPr>
        <w:t>，决算数等于预算数。</w:t>
      </w:r>
    </w:p>
    <w:p w:rsidR="00BB1668" w:rsidRDefault="00757F8E">
      <w:pPr>
        <w:spacing w:line="600" w:lineRule="exact"/>
        <w:ind w:firstLineChars="200" w:firstLine="643"/>
        <w:rPr>
          <w:rFonts w:ascii="仿宋" w:eastAsia="仿宋" w:hAnsi="仿宋"/>
          <w:b/>
          <w:sz w:val="32"/>
          <w:szCs w:val="32"/>
        </w:rPr>
      </w:pPr>
      <w:r>
        <w:rPr>
          <w:rStyle w:val="a7"/>
          <w:rFonts w:ascii="仿宋" w:eastAsia="仿宋" w:hAnsi="仿宋"/>
          <w:bCs/>
          <w:sz w:val="32"/>
          <w:szCs w:val="32"/>
        </w:rPr>
        <w:t>3.</w:t>
      </w:r>
      <w:r>
        <w:rPr>
          <w:rStyle w:val="a7"/>
          <w:rFonts w:ascii="仿宋" w:eastAsia="仿宋" w:hAnsi="仿宋" w:hint="eastAsia"/>
          <w:bCs/>
          <w:sz w:val="32"/>
          <w:szCs w:val="32"/>
        </w:rPr>
        <w:t>科学技术（类）</w:t>
      </w:r>
      <w:r>
        <w:rPr>
          <w:rStyle w:val="a7"/>
          <w:rFonts w:ascii="仿宋" w:eastAsia="仿宋" w:hAnsi="仿宋"/>
          <w:bCs/>
          <w:sz w:val="32"/>
          <w:szCs w:val="32"/>
        </w:rPr>
        <w:t>***</w:t>
      </w:r>
      <w:r>
        <w:rPr>
          <w:rStyle w:val="a7"/>
          <w:rFonts w:ascii="仿宋" w:eastAsia="仿宋" w:hAnsi="仿宋" w:hint="eastAsia"/>
          <w:bCs/>
          <w:sz w:val="32"/>
          <w:szCs w:val="32"/>
        </w:rPr>
        <w:t>（款）</w:t>
      </w:r>
      <w:r>
        <w:rPr>
          <w:rStyle w:val="a7"/>
          <w:rFonts w:ascii="仿宋" w:eastAsia="仿宋" w:hAnsi="仿宋"/>
          <w:bCs/>
          <w:sz w:val="32"/>
          <w:szCs w:val="32"/>
        </w:rPr>
        <w:t>***</w:t>
      </w:r>
      <w:r>
        <w:rPr>
          <w:rStyle w:val="a7"/>
          <w:rFonts w:ascii="仿宋" w:eastAsia="仿宋" w:hAnsi="仿宋" w:hint="eastAsia"/>
          <w:bCs/>
          <w:sz w:val="32"/>
          <w:szCs w:val="32"/>
        </w:rPr>
        <w:t>（项）</w:t>
      </w:r>
      <w:r>
        <w:rPr>
          <w:rStyle w:val="a7"/>
          <w:rFonts w:ascii="仿宋" w:eastAsia="仿宋" w:hAnsi="仿宋"/>
          <w:bCs/>
          <w:sz w:val="32"/>
          <w:szCs w:val="32"/>
        </w:rPr>
        <w:t>:</w:t>
      </w:r>
      <w:r>
        <w:rPr>
          <w:rStyle w:val="a7"/>
          <w:rFonts w:ascii="仿宋" w:eastAsia="仿宋" w:hAnsi="仿宋" w:hint="eastAsia"/>
          <w:b w:val="0"/>
          <w:bCs/>
          <w:sz w:val="32"/>
          <w:szCs w:val="32"/>
        </w:rPr>
        <w:t>支出决算为0</w:t>
      </w:r>
      <w:r>
        <w:rPr>
          <w:rStyle w:val="a7"/>
          <w:rFonts w:ascii="仿宋" w:eastAsia="仿宋" w:hAnsi="仿宋" w:hint="eastAsia"/>
          <w:b w:val="0"/>
          <w:bCs/>
          <w:sz w:val="32"/>
          <w:szCs w:val="32"/>
        </w:rPr>
        <w:lastRenderedPageBreak/>
        <w:t>万元，决算数等于预算数。</w:t>
      </w:r>
    </w:p>
    <w:p w:rsidR="00BB1668" w:rsidRDefault="00757F8E">
      <w:pPr>
        <w:spacing w:line="600" w:lineRule="exact"/>
        <w:ind w:firstLineChars="200" w:firstLine="643"/>
        <w:rPr>
          <w:rFonts w:ascii="仿宋" w:eastAsia="仿宋" w:hAnsi="仿宋"/>
          <w:b/>
          <w:sz w:val="32"/>
          <w:szCs w:val="32"/>
        </w:rPr>
      </w:pPr>
      <w:r>
        <w:rPr>
          <w:rStyle w:val="a7"/>
          <w:rFonts w:ascii="仿宋" w:eastAsia="仿宋" w:hAnsi="仿宋"/>
          <w:bCs/>
          <w:sz w:val="32"/>
          <w:szCs w:val="32"/>
        </w:rPr>
        <w:t>4.</w:t>
      </w:r>
      <w:r>
        <w:rPr>
          <w:rStyle w:val="a7"/>
          <w:rFonts w:ascii="仿宋" w:eastAsia="仿宋" w:hAnsi="仿宋" w:hint="eastAsia"/>
          <w:bCs/>
          <w:sz w:val="32"/>
          <w:szCs w:val="32"/>
        </w:rPr>
        <w:t>文化旅游体育与传媒（类）</w:t>
      </w:r>
      <w:r>
        <w:rPr>
          <w:rStyle w:val="a7"/>
          <w:rFonts w:ascii="仿宋" w:eastAsia="仿宋" w:hAnsi="仿宋"/>
          <w:bCs/>
          <w:sz w:val="32"/>
          <w:szCs w:val="32"/>
        </w:rPr>
        <w:t>***</w:t>
      </w:r>
      <w:r>
        <w:rPr>
          <w:rStyle w:val="a7"/>
          <w:rFonts w:ascii="仿宋" w:eastAsia="仿宋" w:hAnsi="仿宋" w:hint="eastAsia"/>
          <w:bCs/>
          <w:sz w:val="32"/>
          <w:szCs w:val="32"/>
        </w:rPr>
        <w:t>（款）</w:t>
      </w:r>
      <w:r>
        <w:rPr>
          <w:rStyle w:val="a7"/>
          <w:rFonts w:ascii="仿宋" w:eastAsia="仿宋" w:hAnsi="仿宋"/>
          <w:bCs/>
          <w:sz w:val="32"/>
          <w:szCs w:val="32"/>
        </w:rPr>
        <w:t>***</w:t>
      </w:r>
      <w:r>
        <w:rPr>
          <w:rStyle w:val="a7"/>
          <w:rFonts w:ascii="仿宋" w:eastAsia="仿宋" w:hAnsi="仿宋" w:hint="eastAsia"/>
          <w:bCs/>
          <w:sz w:val="32"/>
          <w:szCs w:val="32"/>
        </w:rPr>
        <w:t>（项）</w:t>
      </w:r>
      <w:r>
        <w:rPr>
          <w:rStyle w:val="a7"/>
          <w:rFonts w:ascii="仿宋" w:eastAsia="仿宋" w:hAnsi="仿宋"/>
          <w:bCs/>
          <w:sz w:val="32"/>
          <w:szCs w:val="32"/>
        </w:rPr>
        <w:t>:</w:t>
      </w:r>
      <w:r>
        <w:rPr>
          <w:rStyle w:val="a7"/>
          <w:rFonts w:ascii="仿宋" w:eastAsia="仿宋" w:hAnsi="仿宋" w:hint="eastAsia"/>
          <w:b w:val="0"/>
          <w:bCs/>
          <w:sz w:val="32"/>
          <w:szCs w:val="32"/>
        </w:rPr>
        <w:t>支出决算为0万元，决算数等于预算数。</w:t>
      </w:r>
    </w:p>
    <w:p w:rsidR="00BB1668" w:rsidRDefault="00757F8E">
      <w:pPr>
        <w:spacing w:line="600" w:lineRule="exact"/>
        <w:ind w:firstLineChars="200" w:firstLine="643"/>
        <w:rPr>
          <w:rFonts w:ascii="仿宋" w:eastAsia="仿宋" w:hAnsi="仿宋"/>
          <w:b/>
          <w:sz w:val="32"/>
          <w:szCs w:val="32"/>
        </w:rPr>
      </w:pPr>
      <w:r>
        <w:rPr>
          <w:rStyle w:val="a7"/>
          <w:rFonts w:ascii="仿宋" w:eastAsia="仿宋" w:hAnsi="仿宋"/>
          <w:bCs/>
          <w:sz w:val="32"/>
          <w:szCs w:val="32"/>
        </w:rPr>
        <w:t>5.</w:t>
      </w:r>
      <w:r>
        <w:rPr>
          <w:rStyle w:val="a7"/>
          <w:rFonts w:ascii="仿宋" w:eastAsia="仿宋" w:hAnsi="仿宋" w:hint="eastAsia"/>
          <w:bCs/>
          <w:sz w:val="32"/>
          <w:szCs w:val="32"/>
        </w:rPr>
        <w:t>社会保障和就业（类）</w:t>
      </w:r>
      <w:r>
        <w:rPr>
          <w:rStyle w:val="a7"/>
          <w:rFonts w:ascii="仿宋" w:eastAsia="仿宋" w:hAnsi="仿宋"/>
          <w:bCs/>
          <w:sz w:val="32"/>
          <w:szCs w:val="32"/>
        </w:rPr>
        <w:t>***</w:t>
      </w:r>
      <w:r>
        <w:rPr>
          <w:rStyle w:val="a7"/>
          <w:rFonts w:ascii="仿宋" w:eastAsia="仿宋" w:hAnsi="仿宋" w:hint="eastAsia"/>
          <w:bCs/>
          <w:sz w:val="32"/>
          <w:szCs w:val="32"/>
        </w:rPr>
        <w:t>（款）</w:t>
      </w:r>
      <w:r>
        <w:rPr>
          <w:rStyle w:val="a7"/>
          <w:rFonts w:ascii="仿宋" w:eastAsia="仿宋" w:hAnsi="仿宋"/>
          <w:bCs/>
          <w:sz w:val="32"/>
          <w:szCs w:val="32"/>
        </w:rPr>
        <w:t>***</w:t>
      </w:r>
      <w:r>
        <w:rPr>
          <w:rStyle w:val="a7"/>
          <w:rFonts w:ascii="仿宋" w:eastAsia="仿宋" w:hAnsi="仿宋" w:hint="eastAsia"/>
          <w:bCs/>
          <w:sz w:val="32"/>
          <w:szCs w:val="32"/>
        </w:rPr>
        <w:t>（项）</w:t>
      </w:r>
      <w:r>
        <w:rPr>
          <w:rStyle w:val="a7"/>
          <w:rFonts w:ascii="仿宋" w:eastAsia="仿宋" w:hAnsi="仿宋"/>
          <w:bCs/>
          <w:sz w:val="32"/>
          <w:szCs w:val="32"/>
        </w:rPr>
        <w:t>:</w:t>
      </w:r>
      <w:r>
        <w:rPr>
          <w:rStyle w:val="a7"/>
          <w:rFonts w:ascii="仿宋" w:eastAsia="仿宋" w:hAnsi="仿宋" w:hint="eastAsia"/>
          <w:b w:val="0"/>
          <w:bCs/>
          <w:sz w:val="32"/>
          <w:szCs w:val="32"/>
        </w:rPr>
        <w:t>支出决算为</w:t>
      </w:r>
      <w:r>
        <w:rPr>
          <w:rFonts w:ascii="仿宋" w:eastAsia="仿宋" w:hAnsi="仿宋" w:hint="eastAsia"/>
          <w:sz w:val="32"/>
          <w:szCs w:val="32"/>
        </w:rPr>
        <w:t>53.68</w:t>
      </w:r>
      <w:r>
        <w:rPr>
          <w:rStyle w:val="a7"/>
          <w:rFonts w:ascii="仿宋" w:eastAsia="仿宋" w:hAnsi="仿宋" w:hint="eastAsia"/>
          <w:b w:val="0"/>
          <w:bCs/>
          <w:sz w:val="32"/>
          <w:szCs w:val="32"/>
        </w:rPr>
        <w:t>万元，完成预算7.9</w:t>
      </w:r>
      <w:r>
        <w:rPr>
          <w:rStyle w:val="a7"/>
          <w:rFonts w:ascii="仿宋" w:eastAsia="仿宋" w:hAnsi="仿宋"/>
          <w:b w:val="0"/>
          <w:bCs/>
          <w:sz w:val="32"/>
          <w:szCs w:val="32"/>
        </w:rPr>
        <w:t>%</w:t>
      </w:r>
      <w:r>
        <w:rPr>
          <w:rStyle w:val="a7"/>
          <w:rFonts w:ascii="仿宋" w:eastAsia="仿宋" w:hAnsi="仿宋" w:hint="eastAsia"/>
          <w:b w:val="0"/>
          <w:bCs/>
          <w:sz w:val="32"/>
          <w:szCs w:val="32"/>
        </w:rPr>
        <w:t>，决算数等于预算数。</w:t>
      </w:r>
    </w:p>
    <w:p w:rsidR="00BB1668" w:rsidRDefault="00757F8E">
      <w:pPr>
        <w:spacing w:line="600" w:lineRule="exact"/>
        <w:ind w:firstLineChars="200" w:firstLine="643"/>
        <w:rPr>
          <w:rStyle w:val="a7"/>
          <w:rFonts w:ascii="仿宋" w:eastAsia="仿宋" w:hAnsi="仿宋"/>
          <w:b w:val="0"/>
          <w:bCs/>
          <w:sz w:val="32"/>
          <w:szCs w:val="32"/>
        </w:rPr>
      </w:pPr>
      <w:r>
        <w:rPr>
          <w:rStyle w:val="a7"/>
          <w:rFonts w:ascii="仿宋" w:eastAsia="仿宋" w:hAnsi="仿宋"/>
          <w:bCs/>
          <w:sz w:val="32"/>
          <w:szCs w:val="32"/>
        </w:rPr>
        <w:t>6.</w:t>
      </w:r>
      <w:r>
        <w:rPr>
          <w:rFonts w:ascii="仿宋" w:eastAsia="仿宋" w:hAnsi="仿宋" w:hint="eastAsia"/>
          <w:b/>
          <w:bCs/>
          <w:sz w:val="32"/>
          <w:szCs w:val="32"/>
        </w:rPr>
        <w:t>卫生健康</w:t>
      </w:r>
      <w:r>
        <w:rPr>
          <w:rStyle w:val="a7"/>
          <w:rFonts w:ascii="仿宋" w:eastAsia="仿宋" w:hAnsi="仿宋" w:hint="eastAsia"/>
          <w:bCs/>
          <w:sz w:val="32"/>
          <w:szCs w:val="32"/>
        </w:rPr>
        <w:t>（类）</w:t>
      </w:r>
      <w:r>
        <w:rPr>
          <w:rStyle w:val="a7"/>
          <w:rFonts w:ascii="仿宋" w:eastAsia="仿宋" w:hAnsi="仿宋"/>
          <w:bCs/>
          <w:sz w:val="32"/>
          <w:szCs w:val="32"/>
        </w:rPr>
        <w:t>***</w:t>
      </w:r>
      <w:r>
        <w:rPr>
          <w:rStyle w:val="a7"/>
          <w:rFonts w:ascii="仿宋" w:eastAsia="仿宋" w:hAnsi="仿宋" w:hint="eastAsia"/>
          <w:bCs/>
          <w:sz w:val="32"/>
          <w:szCs w:val="32"/>
        </w:rPr>
        <w:t>（款）</w:t>
      </w:r>
      <w:r>
        <w:rPr>
          <w:rStyle w:val="a7"/>
          <w:rFonts w:ascii="仿宋" w:eastAsia="仿宋" w:hAnsi="仿宋"/>
          <w:bCs/>
          <w:sz w:val="32"/>
          <w:szCs w:val="32"/>
        </w:rPr>
        <w:t>***</w:t>
      </w:r>
      <w:r>
        <w:rPr>
          <w:rStyle w:val="a7"/>
          <w:rFonts w:ascii="仿宋" w:eastAsia="仿宋" w:hAnsi="仿宋" w:hint="eastAsia"/>
          <w:bCs/>
          <w:sz w:val="32"/>
          <w:szCs w:val="32"/>
        </w:rPr>
        <w:t>（项）</w:t>
      </w:r>
      <w:r>
        <w:rPr>
          <w:rStyle w:val="a7"/>
          <w:rFonts w:ascii="仿宋" w:eastAsia="仿宋" w:hAnsi="仿宋"/>
          <w:bCs/>
          <w:sz w:val="32"/>
          <w:szCs w:val="32"/>
        </w:rPr>
        <w:t>:</w:t>
      </w:r>
      <w:r>
        <w:rPr>
          <w:rStyle w:val="a7"/>
          <w:rFonts w:ascii="仿宋" w:eastAsia="仿宋" w:hAnsi="仿宋" w:hint="eastAsia"/>
          <w:b w:val="0"/>
          <w:bCs/>
          <w:sz w:val="32"/>
          <w:szCs w:val="32"/>
        </w:rPr>
        <w:t>支出决算为</w:t>
      </w:r>
      <w:r>
        <w:rPr>
          <w:rFonts w:ascii="仿宋" w:eastAsia="仿宋" w:hAnsi="仿宋" w:hint="eastAsia"/>
          <w:sz w:val="32"/>
          <w:szCs w:val="32"/>
        </w:rPr>
        <w:t>22.77</w:t>
      </w:r>
      <w:r>
        <w:rPr>
          <w:rStyle w:val="a7"/>
          <w:rFonts w:ascii="仿宋" w:eastAsia="仿宋" w:hAnsi="仿宋" w:hint="eastAsia"/>
          <w:b w:val="0"/>
          <w:bCs/>
          <w:sz w:val="32"/>
          <w:szCs w:val="32"/>
        </w:rPr>
        <w:t>万元，完成预算3.3</w:t>
      </w:r>
      <w:r>
        <w:rPr>
          <w:rStyle w:val="a7"/>
          <w:rFonts w:ascii="仿宋" w:eastAsia="仿宋" w:hAnsi="仿宋"/>
          <w:b w:val="0"/>
          <w:bCs/>
          <w:sz w:val="32"/>
          <w:szCs w:val="32"/>
        </w:rPr>
        <w:t>%</w:t>
      </w:r>
      <w:r>
        <w:rPr>
          <w:rStyle w:val="a7"/>
          <w:rFonts w:ascii="仿宋" w:eastAsia="仿宋" w:hAnsi="仿宋" w:hint="eastAsia"/>
          <w:b w:val="0"/>
          <w:bCs/>
          <w:sz w:val="32"/>
          <w:szCs w:val="32"/>
        </w:rPr>
        <w:t>，决算数等于预算数。</w:t>
      </w:r>
    </w:p>
    <w:p w:rsidR="00BB1668" w:rsidRPr="00F45C63" w:rsidRDefault="00757F8E" w:rsidP="00F45C63">
      <w:pPr>
        <w:pStyle w:val="a0"/>
        <w:spacing w:before="93"/>
        <w:ind w:firstLineChars="200" w:firstLine="643"/>
        <w:rPr>
          <w:rFonts w:ascii="仿宋" w:eastAsia="仿宋" w:hAnsi="仿宋" w:cstheme="minorBidi"/>
          <w:b/>
          <w:bCs/>
          <w:kern w:val="2"/>
          <w:sz w:val="32"/>
          <w:szCs w:val="32"/>
        </w:rPr>
      </w:pPr>
      <w:r>
        <w:rPr>
          <w:rStyle w:val="a7"/>
          <w:rFonts w:ascii="仿宋" w:eastAsia="仿宋" w:hAnsi="仿宋" w:cstheme="minorBidi" w:hint="eastAsia"/>
          <w:bCs/>
          <w:kern w:val="2"/>
          <w:sz w:val="32"/>
          <w:szCs w:val="32"/>
        </w:rPr>
        <w:t>7.灾害防治及应急管理支出（类）自然灾害救灾及恢复重建支出（款）其他自然灾害救灾及恢复重建支出（项）：</w:t>
      </w:r>
      <w:r>
        <w:rPr>
          <w:rStyle w:val="a7"/>
          <w:rFonts w:ascii="仿宋" w:eastAsia="仿宋" w:hAnsi="仿宋" w:hint="eastAsia"/>
          <w:b w:val="0"/>
          <w:bCs/>
          <w:sz w:val="32"/>
          <w:szCs w:val="32"/>
        </w:rPr>
        <w:t>出决算为</w:t>
      </w:r>
      <w:r>
        <w:rPr>
          <w:rFonts w:ascii="仿宋" w:eastAsia="仿宋" w:hAnsi="仿宋" w:hint="eastAsia"/>
          <w:sz w:val="32"/>
          <w:szCs w:val="32"/>
        </w:rPr>
        <w:t>60.48</w:t>
      </w:r>
      <w:r>
        <w:rPr>
          <w:rStyle w:val="a7"/>
          <w:rFonts w:ascii="仿宋" w:eastAsia="仿宋" w:hAnsi="仿宋" w:hint="eastAsia"/>
          <w:b w:val="0"/>
          <w:bCs/>
          <w:sz w:val="32"/>
          <w:szCs w:val="32"/>
        </w:rPr>
        <w:t>万元，完成预算9</w:t>
      </w:r>
      <w:r>
        <w:rPr>
          <w:rStyle w:val="a7"/>
          <w:rFonts w:ascii="仿宋" w:eastAsia="仿宋" w:hAnsi="仿宋"/>
          <w:b w:val="0"/>
          <w:bCs/>
          <w:sz w:val="32"/>
          <w:szCs w:val="32"/>
        </w:rPr>
        <w:t>%</w:t>
      </w:r>
      <w:r>
        <w:rPr>
          <w:rStyle w:val="a7"/>
          <w:rFonts w:ascii="仿宋" w:eastAsia="仿宋" w:hAnsi="仿宋" w:hint="eastAsia"/>
          <w:b w:val="0"/>
          <w:bCs/>
          <w:sz w:val="32"/>
          <w:szCs w:val="32"/>
        </w:rPr>
        <w:t>，决算数等于预算数。</w:t>
      </w:r>
    </w:p>
    <w:p w:rsidR="00BB1668" w:rsidRDefault="00757F8E">
      <w:pPr>
        <w:tabs>
          <w:tab w:val="right" w:pos="8306"/>
        </w:tabs>
        <w:spacing w:line="600" w:lineRule="exact"/>
        <w:ind w:firstLine="640"/>
        <w:outlineLvl w:val="1"/>
        <w:rPr>
          <w:rStyle w:val="2Char"/>
        </w:rPr>
      </w:pPr>
      <w:bookmarkStart w:id="34" w:name="_Toc15377214"/>
      <w:bookmarkStart w:id="35" w:name="_Toc15396608"/>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Char"/>
          <w:rFonts w:ascii="黑体" w:eastAsia="黑体" w:hAnsi="黑体" w:hint="eastAsia"/>
          <w:b w:val="0"/>
        </w:rPr>
        <w:t>般公共预算财政拨款基本支出决算情况说明</w:t>
      </w:r>
      <w:bookmarkEnd w:id="34"/>
      <w:bookmarkEnd w:id="35"/>
      <w:r>
        <w:rPr>
          <w:rStyle w:val="2Char"/>
          <w:rFonts w:ascii="黑体" w:eastAsia="黑体" w:hAnsi="黑体"/>
          <w:b w:val="0"/>
        </w:rPr>
        <w:tab/>
      </w:r>
    </w:p>
    <w:p w:rsidR="00BB1668" w:rsidRDefault="00757F8E">
      <w:pPr>
        <w:spacing w:line="600" w:lineRule="exact"/>
        <w:ind w:firstLine="645"/>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22年一般公共预算财政拨款基本支出614.16万元，其中：</w:t>
      </w:r>
    </w:p>
    <w:p w:rsidR="00BB1668" w:rsidRDefault="00757F8E">
      <w:pPr>
        <w:spacing w:line="600" w:lineRule="exact"/>
        <w:ind w:firstLine="645"/>
        <w:rPr>
          <w:rFonts w:ascii="仿宋" w:eastAsia="仿宋" w:hAnsi="仿宋"/>
          <w:sz w:val="32"/>
          <w:szCs w:val="32"/>
        </w:rPr>
      </w:pPr>
      <w:r>
        <w:rPr>
          <w:rFonts w:ascii="仿宋" w:eastAsia="仿宋" w:hAnsi="仿宋" w:hint="eastAsia"/>
          <w:sz w:val="32"/>
          <w:szCs w:val="32"/>
        </w:rPr>
        <w:t>人员经费498.13万元，主要包括：基本工资155.28万元、津贴补贴31.7万元、奖金0万元、伙食补助费0万元、绩效工资177.78万元、机关事业单位基本养老保险缴费40.79万元、职业年金缴费6.32万元、职工基本医疗保险缴费18.69万元、公务员医疗补助缴费4.08万元、其他社会保障缴费3.32万元、其他工资福利支出9.22万元、离休费0万元、退休费0万元、抚恤金0.96万元、生活补助1万元、医疗费补助0万元、奖励金0.02万元、住房公积金30.77万元、其他对个人和家庭的补助支出20.18万元等。</w:t>
      </w:r>
    </w:p>
    <w:p w:rsidR="00BB1668" w:rsidRDefault="00757F8E">
      <w:pPr>
        <w:spacing w:line="600" w:lineRule="exact"/>
        <w:ind w:firstLine="645"/>
        <w:rPr>
          <w:rFonts w:ascii="仿宋" w:eastAsia="仿宋" w:hAnsi="仿宋"/>
          <w:sz w:val="32"/>
          <w:szCs w:val="32"/>
        </w:rPr>
      </w:pPr>
      <w:r>
        <w:rPr>
          <w:rFonts w:ascii="仿宋" w:eastAsia="仿宋" w:hAnsi="仿宋" w:hint="eastAsia"/>
          <w:sz w:val="32"/>
          <w:szCs w:val="32"/>
        </w:rPr>
        <w:lastRenderedPageBreak/>
        <w:t>公用经费116.03万元，主要包括：办公费35.48万元、印刷费0.56万元、咨询费0.43万元、手续费0.2万元、水费2万元、电费6.54万元、邮电费7.64万元、取暖费0万元、物业管理费5.91万元、差旅费0.35万元、因公出国（境）费用0万元、维修（护）费12.69万元、租赁费0万元、会议费0万元、培训费5.65万元、公务接待费0.02万元、劳务费1.9万元、委托业务费0万元、工会经费7.89万元、福利费4.79万元、公务用车运行维护费0万元、其他交通费0万元、税金及附加费用0万元、其他商品和服务支出8.43万元、办公设备购置15.55万元、专用设备购置0万元、信息网络及软件购置更新0万元、其他资本性支出0万元。</w:t>
      </w:r>
    </w:p>
    <w:p w:rsidR="00BB1668" w:rsidRDefault="00757F8E">
      <w:pPr>
        <w:spacing w:line="600" w:lineRule="exact"/>
        <w:ind w:firstLine="640"/>
        <w:outlineLvl w:val="1"/>
        <w:rPr>
          <w:rStyle w:val="2Char"/>
          <w:rFonts w:ascii="黑体" w:eastAsia="黑体" w:hAnsi="黑体"/>
          <w:b w:val="0"/>
        </w:rPr>
      </w:pPr>
      <w:bookmarkStart w:id="36" w:name="_Toc15396609"/>
      <w:bookmarkStart w:id="37" w:name="_Toc15377215"/>
      <w:r>
        <w:rPr>
          <w:rFonts w:ascii="黑体" w:eastAsia="黑体" w:hint="eastAsia"/>
          <w:sz w:val="32"/>
          <w:szCs w:val="32"/>
        </w:rPr>
        <w:t>七、</w:t>
      </w:r>
      <w:r>
        <w:rPr>
          <w:rStyle w:val="2Char"/>
          <w:rFonts w:ascii="黑体" w:eastAsia="黑体" w:hAnsi="黑体" w:hint="eastAsia"/>
          <w:b w:val="0"/>
        </w:rPr>
        <w:t>财政拨款</w:t>
      </w:r>
      <w:r>
        <w:rPr>
          <w:rStyle w:val="2Char"/>
          <w:rFonts w:ascii="黑体" w:eastAsia="黑体" w:hAnsi="黑体" w:hint="eastAsia"/>
        </w:rPr>
        <w:t>“</w:t>
      </w:r>
      <w:r>
        <w:rPr>
          <w:rStyle w:val="2Char"/>
          <w:rFonts w:ascii="黑体" w:eastAsia="黑体" w:hAnsi="黑体" w:hint="eastAsia"/>
          <w:b w:val="0"/>
        </w:rPr>
        <w:t>三公”经费支出决算情况说明</w:t>
      </w:r>
      <w:bookmarkEnd w:id="36"/>
      <w:bookmarkEnd w:id="37"/>
    </w:p>
    <w:p w:rsidR="00BB1668" w:rsidRDefault="00757F8E">
      <w:pPr>
        <w:spacing w:line="600" w:lineRule="exact"/>
        <w:ind w:firstLine="640"/>
        <w:outlineLvl w:val="2"/>
        <w:rPr>
          <w:rFonts w:ascii="仿宋" w:eastAsia="仿宋" w:hAnsi="仿宋"/>
          <w:b/>
          <w:sz w:val="32"/>
          <w:szCs w:val="32"/>
        </w:rPr>
      </w:pPr>
      <w:bookmarkStart w:id="38" w:name="_Toc15377216"/>
      <w:r>
        <w:rPr>
          <w:rFonts w:ascii="仿宋" w:eastAsia="仿宋" w:hAnsi="仿宋" w:hint="eastAsia"/>
          <w:b/>
          <w:sz w:val="32"/>
          <w:szCs w:val="32"/>
        </w:rPr>
        <w:t>（一）“三公”经费财政拨款支出决算总体情况说明</w:t>
      </w:r>
      <w:bookmarkEnd w:id="38"/>
    </w:p>
    <w:p w:rsidR="00BB1668" w:rsidRDefault="00757F8E">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22年“三公”经费财政拨款支出决算为0.02万元，完成预算100</w:t>
      </w:r>
      <w:r>
        <w:rPr>
          <w:rFonts w:ascii="仿宋" w:eastAsia="仿宋" w:hAnsi="仿宋"/>
          <w:sz w:val="32"/>
          <w:szCs w:val="32"/>
        </w:rPr>
        <w:t>%</w:t>
      </w:r>
      <w:r>
        <w:rPr>
          <w:rFonts w:ascii="仿宋" w:eastAsia="仿宋" w:hAnsi="仿宋" w:hint="eastAsia"/>
          <w:sz w:val="32"/>
          <w:szCs w:val="32"/>
        </w:rPr>
        <w:t>，较上年持平。决算与预算数持平。</w:t>
      </w:r>
    </w:p>
    <w:p w:rsidR="00BB1668" w:rsidRDefault="00757F8E">
      <w:pPr>
        <w:spacing w:line="600" w:lineRule="exact"/>
        <w:ind w:firstLine="640"/>
        <w:rPr>
          <w:rFonts w:ascii="仿宋" w:eastAsia="仿宋" w:hAnsi="仿宋"/>
          <w:b/>
          <w:sz w:val="32"/>
          <w:szCs w:val="32"/>
        </w:rPr>
      </w:pPr>
      <w:r>
        <w:rPr>
          <w:rFonts w:ascii="仿宋" w:eastAsia="仿宋" w:hAnsi="仿宋" w:hint="eastAsia"/>
          <w:b/>
          <w:sz w:val="32"/>
          <w:szCs w:val="32"/>
        </w:rPr>
        <w:t>（注：上述“预算”口径为全年预算数，包括一般公共预算和政府性基金预算财政拨款支出决算情况。）</w:t>
      </w:r>
    </w:p>
    <w:p w:rsidR="00BB1668" w:rsidRDefault="00757F8E">
      <w:pPr>
        <w:spacing w:line="600" w:lineRule="exact"/>
        <w:ind w:firstLine="640"/>
        <w:outlineLvl w:val="2"/>
        <w:rPr>
          <w:rFonts w:ascii="仿宋" w:eastAsia="仿宋" w:hAnsi="仿宋"/>
          <w:b/>
          <w:sz w:val="32"/>
          <w:szCs w:val="32"/>
        </w:rPr>
      </w:pPr>
      <w:bookmarkStart w:id="39" w:name="_Toc15377217"/>
      <w:r>
        <w:rPr>
          <w:rFonts w:ascii="仿宋" w:eastAsia="仿宋" w:hAnsi="仿宋" w:hint="eastAsia"/>
          <w:b/>
          <w:sz w:val="32"/>
          <w:szCs w:val="32"/>
        </w:rPr>
        <w:t>（二）“三公”经费财政拨款支出决算具体情况说明</w:t>
      </w:r>
      <w:bookmarkEnd w:id="39"/>
    </w:p>
    <w:p w:rsidR="00BB1668" w:rsidRDefault="00757F8E">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22年“三公”经费财政拨款支出决算中，因公出国（境）费支出决算0万元；公务用车购置及运行维护费支出决算0万元</w:t>
      </w:r>
      <w:r>
        <w:rPr>
          <w:rFonts w:ascii="仿宋" w:eastAsia="仿宋" w:hAnsi="仿宋"/>
          <w:sz w:val="32"/>
          <w:szCs w:val="32"/>
        </w:rPr>
        <w:t>%</w:t>
      </w:r>
      <w:r>
        <w:rPr>
          <w:rFonts w:ascii="仿宋" w:eastAsia="仿宋" w:hAnsi="仿宋" w:hint="eastAsia"/>
          <w:sz w:val="32"/>
          <w:szCs w:val="32"/>
        </w:rPr>
        <w:t>；公务接待费支出决算0.02万元。具体情况如下：</w:t>
      </w:r>
    </w:p>
    <w:p w:rsidR="00BB1668" w:rsidRDefault="00757F8E">
      <w:pPr>
        <w:spacing w:line="600" w:lineRule="exact"/>
        <w:ind w:firstLine="640"/>
        <w:rPr>
          <w:rFonts w:ascii="仿宋" w:eastAsia="仿宋" w:hAnsi="仿宋"/>
          <w:sz w:val="32"/>
          <w:szCs w:val="32"/>
        </w:rPr>
      </w:pPr>
      <w:r>
        <w:rPr>
          <w:rFonts w:ascii="仿宋" w:eastAsia="仿宋" w:hAnsi="仿宋" w:hint="eastAsia"/>
          <w:sz w:val="32"/>
          <w:szCs w:val="32"/>
        </w:rPr>
        <w:t>（图7：“三公”经费财政拨款支出结构）（饼状图）</w:t>
      </w:r>
    </w:p>
    <w:p w:rsidR="00BB1668" w:rsidRDefault="00757F8E">
      <w:pPr>
        <w:spacing w:line="600" w:lineRule="exact"/>
        <w:ind w:firstLine="640"/>
        <w:rPr>
          <w:rFonts w:ascii="仿宋_GB2312" w:eastAsia="仿宋_GB2312"/>
          <w:sz w:val="32"/>
          <w:szCs w:val="32"/>
        </w:rPr>
      </w:pPr>
      <w:r>
        <w:rPr>
          <w:rFonts w:ascii="仿宋_GB2312" w:eastAsia="仿宋_GB2312"/>
          <w:b/>
          <w:sz w:val="32"/>
          <w:szCs w:val="32"/>
        </w:rPr>
        <w:t>1.</w:t>
      </w:r>
      <w:r>
        <w:rPr>
          <w:rFonts w:ascii="仿宋_GB2312" w:eastAsia="仿宋_GB2312" w:hint="eastAsia"/>
          <w:b/>
          <w:sz w:val="32"/>
          <w:szCs w:val="32"/>
        </w:rPr>
        <w:t>因公出国（境）经费支出</w:t>
      </w:r>
      <w:r>
        <w:rPr>
          <w:rFonts w:ascii="仿宋_GB2312" w:eastAsia="仿宋_GB2312" w:hint="eastAsia"/>
          <w:sz w:val="32"/>
          <w:szCs w:val="32"/>
        </w:rPr>
        <w:t>0万元</w:t>
      </w:r>
      <w:r>
        <w:rPr>
          <w:rStyle w:val="a7"/>
          <w:rFonts w:ascii="仿宋" w:eastAsia="仿宋" w:hAnsi="仿宋" w:hint="eastAsia"/>
          <w:b w:val="0"/>
          <w:bCs/>
          <w:sz w:val="32"/>
          <w:szCs w:val="32"/>
        </w:rPr>
        <w:t>。</w:t>
      </w:r>
    </w:p>
    <w:p w:rsidR="00BB1668" w:rsidRDefault="00757F8E">
      <w:pPr>
        <w:spacing w:line="600" w:lineRule="exact"/>
        <w:ind w:firstLine="640"/>
        <w:rPr>
          <w:rFonts w:ascii="仿宋_GB2312" w:eastAsia="仿宋_GB2312"/>
          <w:sz w:val="32"/>
          <w:szCs w:val="32"/>
        </w:rPr>
      </w:pPr>
      <w:r>
        <w:rPr>
          <w:rFonts w:ascii="仿宋_GB2312" w:eastAsia="仿宋_GB2312"/>
          <w:b/>
          <w:sz w:val="32"/>
          <w:szCs w:val="32"/>
        </w:rPr>
        <w:lastRenderedPageBreak/>
        <w:t>2.</w:t>
      </w:r>
      <w:r>
        <w:rPr>
          <w:rFonts w:ascii="仿宋_GB2312" w:eastAsia="仿宋_GB2312" w:hint="eastAsia"/>
          <w:b/>
          <w:sz w:val="32"/>
          <w:szCs w:val="32"/>
        </w:rPr>
        <w:t>公务用车购置及运行维护费支出</w:t>
      </w:r>
      <w:r>
        <w:rPr>
          <w:rFonts w:ascii="仿宋_GB2312" w:eastAsia="仿宋_GB2312" w:hint="eastAsia"/>
          <w:sz w:val="32"/>
          <w:szCs w:val="32"/>
        </w:rPr>
        <w:t>0万元</w:t>
      </w:r>
      <w:r>
        <w:rPr>
          <w:rStyle w:val="a7"/>
          <w:rFonts w:ascii="仿宋" w:eastAsia="仿宋" w:hAnsi="仿宋" w:hint="eastAsia"/>
          <w:b w:val="0"/>
          <w:bCs/>
          <w:sz w:val="32"/>
          <w:szCs w:val="32"/>
        </w:rPr>
        <w:t>。</w:t>
      </w:r>
    </w:p>
    <w:p w:rsidR="00BB1668" w:rsidRPr="00F45C63" w:rsidRDefault="00757F8E">
      <w:pPr>
        <w:spacing w:line="600" w:lineRule="exact"/>
        <w:ind w:firstLine="640"/>
        <w:rPr>
          <w:rFonts w:ascii="仿宋" w:eastAsia="仿宋" w:hAnsi="仿宋"/>
          <w:sz w:val="32"/>
          <w:szCs w:val="32"/>
        </w:rPr>
      </w:pPr>
      <w:r>
        <w:rPr>
          <w:rFonts w:ascii="仿宋_GB2312" w:eastAsia="仿宋_GB2312"/>
          <w:b/>
          <w:sz w:val="32"/>
          <w:szCs w:val="32"/>
        </w:rPr>
        <w:t>3.</w:t>
      </w:r>
      <w:r>
        <w:rPr>
          <w:rFonts w:ascii="仿宋_GB2312" w:eastAsia="仿宋_GB2312" w:hint="eastAsia"/>
          <w:b/>
          <w:sz w:val="32"/>
          <w:szCs w:val="32"/>
        </w:rPr>
        <w:t>公务接待费支出</w:t>
      </w:r>
      <w:r>
        <w:rPr>
          <w:rFonts w:ascii="仿宋_GB2312" w:eastAsia="仿宋_GB2312" w:hint="eastAsia"/>
          <w:sz w:val="32"/>
          <w:szCs w:val="32"/>
        </w:rPr>
        <w:t>0.02万元，</w:t>
      </w:r>
      <w:r>
        <w:rPr>
          <w:rStyle w:val="a7"/>
          <w:rFonts w:ascii="仿宋" w:eastAsia="仿宋" w:hAnsi="仿宋" w:hint="eastAsia"/>
          <w:b w:val="0"/>
          <w:bCs/>
          <w:sz w:val="32"/>
          <w:szCs w:val="32"/>
        </w:rPr>
        <w:t>完成预算100</w:t>
      </w:r>
      <w:r>
        <w:rPr>
          <w:rStyle w:val="a7"/>
          <w:rFonts w:ascii="仿宋" w:eastAsia="仿宋" w:hAnsi="仿宋"/>
          <w:b w:val="0"/>
          <w:bCs/>
          <w:sz w:val="32"/>
          <w:szCs w:val="32"/>
        </w:rPr>
        <w:t>%</w:t>
      </w:r>
      <w:r>
        <w:rPr>
          <w:rStyle w:val="a7"/>
          <w:rFonts w:ascii="仿宋" w:eastAsia="仿宋" w:hAnsi="仿宋" w:hint="eastAsia"/>
          <w:b w:val="0"/>
          <w:bCs/>
          <w:sz w:val="32"/>
          <w:szCs w:val="32"/>
        </w:rPr>
        <w:t>。</w:t>
      </w:r>
      <w:r w:rsidRPr="00F45C63">
        <w:rPr>
          <w:rFonts w:ascii="仿宋" w:eastAsia="仿宋" w:hAnsi="仿宋" w:hint="eastAsia"/>
          <w:sz w:val="32"/>
          <w:szCs w:val="32"/>
        </w:rPr>
        <w:t>公务接待费支出决算与</w:t>
      </w:r>
      <w:r w:rsidRPr="00F45C63">
        <w:rPr>
          <w:rFonts w:ascii="仿宋" w:eastAsia="仿宋" w:hAnsi="仿宋"/>
          <w:sz w:val="32"/>
          <w:szCs w:val="32"/>
        </w:rPr>
        <w:t>20</w:t>
      </w:r>
      <w:r w:rsidRPr="00F45C63">
        <w:rPr>
          <w:rFonts w:ascii="仿宋" w:eastAsia="仿宋" w:hAnsi="仿宋" w:hint="eastAsia"/>
          <w:sz w:val="32"/>
          <w:szCs w:val="32"/>
        </w:rPr>
        <w:t>21年持平。其中：</w:t>
      </w:r>
    </w:p>
    <w:p w:rsidR="00BB1668" w:rsidRPr="00F45C63" w:rsidRDefault="00757F8E">
      <w:pPr>
        <w:spacing w:line="600" w:lineRule="exact"/>
        <w:ind w:firstLine="640"/>
        <w:rPr>
          <w:rFonts w:ascii="仿宋" w:eastAsia="仿宋" w:hAnsi="仿宋"/>
          <w:sz w:val="32"/>
          <w:szCs w:val="32"/>
        </w:rPr>
      </w:pPr>
      <w:r w:rsidRPr="00F45C63">
        <w:rPr>
          <w:rFonts w:ascii="仿宋" w:eastAsia="仿宋" w:hAnsi="仿宋" w:hint="eastAsia"/>
          <w:sz w:val="32"/>
          <w:szCs w:val="32"/>
        </w:rPr>
        <w:t>国内公务接待支出</w:t>
      </w:r>
      <w:r>
        <w:rPr>
          <w:rFonts w:ascii="仿宋" w:eastAsia="仿宋" w:hAnsi="仿宋" w:hint="eastAsia"/>
          <w:sz w:val="32"/>
          <w:szCs w:val="32"/>
        </w:rPr>
        <w:t>0.02</w:t>
      </w:r>
      <w:r w:rsidRPr="00F45C63">
        <w:rPr>
          <w:rFonts w:ascii="仿宋" w:eastAsia="仿宋" w:hAnsi="仿宋" w:hint="eastAsia"/>
          <w:sz w:val="32"/>
          <w:szCs w:val="32"/>
        </w:rPr>
        <w:t>万元，主要用于开展业务活动用餐费等。国内公务接待1批次，5人次（不包括陪同人员），共计支出0.02万元，具体内容包括：工作餐0.02万元。</w:t>
      </w:r>
    </w:p>
    <w:p w:rsidR="00BB1668" w:rsidRDefault="00757F8E">
      <w:pPr>
        <w:spacing w:line="600" w:lineRule="exact"/>
        <w:ind w:firstLineChars="200" w:firstLine="643"/>
        <w:rPr>
          <w:rFonts w:ascii="黑体" w:eastAsia="黑体"/>
          <w:sz w:val="32"/>
          <w:szCs w:val="32"/>
        </w:rPr>
      </w:pPr>
      <w:r>
        <w:rPr>
          <w:rFonts w:ascii="仿宋" w:eastAsia="仿宋" w:hAnsi="仿宋" w:hint="eastAsia"/>
          <w:b/>
          <w:sz w:val="32"/>
          <w:szCs w:val="32"/>
        </w:rPr>
        <w:t>外事接待支出</w:t>
      </w:r>
      <w:r>
        <w:rPr>
          <w:rFonts w:ascii="仿宋" w:eastAsia="仿宋" w:hAnsi="仿宋" w:hint="eastAsia"/>
          <w:sz w:val="32"/>
          <w:szCs w:val="32"/>
        </w:rPr>
        <w:t>0</w:t>
      </w:r>
      <w:r>
        <w:rPr>
          <w:rFonts w:ascii="仿宋_GB2312" w:eastAsia="仿宋_GB2312" w:hint="eastAsia"/>
          <w:sz w:val="32"/>
          <w:szCs w:val="32"/>
        </w:rPr>
        <w:t>万元。</w:t>
      </w:r>
      <w:bookmarkStart w:id="40" w:name="_Toc15377218"/>
      <w:bookmarkStart w:id="41" w:name="_Toc15396610"/>
    </w:p>
    <w:p w:rsidR="00BB1668" w:rsidRDefault="00757F8E">
      <w:pPr>
        <w:spacing w:line="600" w:lineRule="exact"/>
        <w:ind w:firstLine="640"/>
        <w:outlineLvl w:val="1"/>
        <w:rPr>
          <w:rStyle w:val="2Char"/>
          <w:rFonts w:ascii="黑体" w:eastAsia="黑体" w:hAnsi="黑体"/>
        </w:rPr>
      </w:pPr>
      <w:r>
        <w:rPr>
          <w:rFonts w:ascii="黑体" w:eastAsia="黑体" w:hint="eastAsia"/>
          <w:sz w:val="32"/>
          <w:szCs w:val="32"/>
        </w:rPr>
        <w:t>八、</w:t>
      </w:r>
      <w:r>
        <w:rPr>
          <w:rStyle w:val="2Char"/>
          <w:rFonts w:ascii="黑体" w:eastAsia="黑体" w:hAnsi="黑体" w:hint="eastAsia"/>
          <w:b w:val="0"/>
        </w:rPr>
        <w:t>政府性基金预算支出决算情况说明</w:t>
      </w:r>
      <w:bookmarkEnd w:id="40"/>
      <w:bookmarkEnd w:id="41"/>
    </w:p>
    <w:p w:rsidR="00BB1668" w:rsidRPr="00F45C63" w:rsidRDefault="00757F8E">
      <w:pPr>
        <w:spacing w:line="600" w:lineRule="exact"/>
        <w:ind w:firstLine="640"/>
        <w:rPr>
          <w:rFonts w:ascii="仿宋" w:eastAsia="仿宋" w:hAnsi="仿宋"/>
          <w:sz w:val="32"/>
          <w:szCs w:val="32"/>
        </w:rPr>
      </w:pPr>
      <w:r w:rsidRPr="00F45C63">
        <w:rPr>
          <w:rFonts w:ascii="仿宋" w:eastAsia="仿宋" w:hAnsi="仿宋"/>
          <w:sz w:val="32"/>
          <w:szCs w:val="32"/>
        </w:rPr>
        <w:t>20</w:t>
      </w:r>
      <w:r w:rsidRPr="00F45C63">
        <w:rPr>
          <w:rFonts w:ascii="仿宋" w:eastAsia="仿宋" w:hAnsi="仿宋" w:hint="eastAsia"/>
          <w:sz w:val="32"/>
          <w:szCs w:val="32"/>
        </w:rPr>
        <w:t>22年政府性基金预算财政拨款支出0万元。</w:t>
      </w:r>
    </w:p>
    <w:p w:rsidR="00BB1668" w:rsidRPr="00F45C63" w:rsidRDefault="00757F8E">
      <w:pPr>
        <w:numPr>
          <w:ilvl w:val="0"/>
          <w:numId w:val="3"/>
        </w:numPr>
        <w:spacing w:line="600" w:lineRule="exact"/>
        <w:ind w:firstLine="640"/>
        <w:outlineLvl w:val="1"/>
        <w:rPr>
          <w:rStyle w:val="2Char"/>
          <w:rFonts w:ascii="黑体" w:eastAsia="黑体" w:hAnsi="黑体"/>
        </w:rPr>
      </w:pPr>
      <w:bookmarkStart w:id="42" w:name="_Toc15377219"/>
      <w:bookmarkStart w:id="43" w:name="_Toc15396611"/>
      <w:r w:rsidRPr="00F45C63">
        <w:rPr>
          <w:rStyle w:val="2Char"/>
          <w:rFonts w:ascii="黑体" w:eastAsia="黑体" w:hAnsi="黑体" w:hint="eastAsia"/>
        </w:rPr>
        <w:t>国有资本经营预算支出决算情况说明</w:t>
      </w:r>
      <w:bookmarkEnd w:id="42"/>
      <w:bookmarkEnd w:id="43"/>
    </w:p>
    <w:p w:rsidR="00BB1668" w:rsidRPr="00F45C63" w:rsidRDefault="00757F8E">
      <w:pPr>
        <w:spacing w:line="600" w:lineRule="exact"/>
        <w:ind w:firstLine="640"/>
        <w:rPr>
          <w:rFonts w:ascii="仿宋" w:eastAsia="仿宋" w:hAnsi="仿宋"/>
          <w:sz w:val="32"/>
          <w:szCs w:val="32"/>
        </w:rPr>
      </w:pPr>
      <w:r w:rsidRPr="00F45C63">
        <w:rPr>
          <w:rFonts w:ascii="仿宋" w:eastAsia="仿宋" w:hAnsi="仿宋"/>
          <w:sz w:val="32"/>
          <w:szCs w:val="32"/>
        </w:rPr>
        <w:t>20</w:t>
      </w:r>
      <w:r w:rsidRPr="00F45C63">
        <w:rPr>
          <w:rFonts w:ascii="仿宋" w:eastAsia="仿宋" w:hAnsi="仿宋" w:hint="eastAsia"/>
          <w:sz w:val="32"/>
          <w:szCs w:val="32"/>
        </w:rPr>
        <w:t>22年国有资本经营预算财政拨款支出0万元。</w:t>
      </w:r>
    </w:p>
    <w:p w:rsidR="00BB1668" w:rsidRDefault="00757F8E">
      <w:pPr>
        <w:numPr>
          <w:ilvl w:val="0"/>
          <w:numId w:val="3"/>
        </w:numPr>
        <w:spacing w:line="600" w:lineRule="exact"/>
        <w:ind w:firstLine="640"/>
        <w:outlineLvl w:val="1"/>
        <w:rPr>
          <w:rStyle w:val="2Char"/>
          <w:rFonts w:ascii="黑体" w:eastAsia="黑体" w:hAnsi="黑体"/>
          <w:b w:val="0"/>
        </w:rPr>
      </w:pPr>
      <w:bookmarkStart w:id="44" w:name="_Toc15396612"/>
      <w:bookmarkStart w:id="45" w:name="_Toc15377221"/>
      <w:r>
        <w:rPr>
          <w:rStyle w:val="2Char"/>
          <w:rFonts w:ascii="黑体" w:eastAsia="黑体" w:hAnsi="黑体" w:hint="eastAsia"/>
          <w:b w:val="0"/>
        </w:rPr>
        <w:t>其他重要事项的情况说明</w:t>
      </w:r>
      <w:bookmarkEnd w:id="44"/>
      <w:bookmarkEnd w:id="45"/>
    </w:p>
    <w:p w:rsidR="00BB1668" w:rsidRDefault="00757F8E">
      <w:pPr>
        <w:spacing w:line="600" w:lineRule="exact"/>
        <w:ind w:firstLineChars="200" w:firstLine="643"/>
        <w:outlineLvl w:val="2"/>
        <w:rPr>
          <w:rFonts w:ascii="仿宋" w:eastAsia="仿宋" w:hAnsi="仿宋"/>
          <w:sz w:val="32"/>
          <w:szCs w:val="32"/>
        </w:rPr>
      </w:pPr>
      <w:bookmarkStart w:id="46" w:name="_Toc15377222"/>
      <w:r>
        <w:rPr>
          <w:rFonts w:ascii="仿宋" w:eastAsia="仿宋" w:hAnsi="仿宋" w:hint="eastAsia"/>
          <w:b/>
          <w:sz w:val="32"/>
          <w:szCs w:val="32"/>
        </w:rPr>
        <w:t>（一）机关运行经费支出情况</w:t>
      </w:r>
      <w:bookmarkEnd w:id="46"/>
    </w:p>
    <w:p w:rsidR="00BB1668" w:rsidRPr="00F45C63" w:rsidRDefault="00757F8E" w:rsidP="00F45C63">
      <w:pPr>
        <w:spacing w:line="600" w:lineRule="exact"/>
        <w:ind w:firstLine="640"/>
        <w:rPr>
          <w:rFonts w:ascii="仿宋" w:eastAsia="仿宋" w:hAnsi="仿宋"/>
          <w:sz w:val="32"/>
          <w:szCs w:val="32"/>
        </w:rPr>
      </w:pPr>
      <w:r w:rsidRPr="00F45C63">
        <w:rPr>
          <w:rFonts w:ascii="仿宋" w:eastAsia="仿宋" w:hAnsi="仿宋"/>
          <w:sz w:val="32"/>
          <w:szCs w:val="32"/>
        </w:rPr>
        <w:t>20</w:t>
      </w:r>
      <w:r w:rsidRPr="00F45C63">
        <w:rPr>
          <w:rFonts w:ascii="仿宋" w:eastAsia="仿宋" w:hAnsi="仿宋" w:hint="eastAsia"/>
          <w:sz w:val="32"/>
          <w:szCs w:val="32"/>
        </w:rPr>
        <w:t>22年，泸县中宏特殊教育学校机关运行经费支出0万元，与</w:t>
      </w:r>
      <w:r w:rsidRPr="00F45C63">
        <w:rPr>
          <w:rFonts w:ascii="仿宋" w:eastAsia="仿宋" w:hAnsi="仿宋"/>
          <w:sz w:val="32"/>
          <w:szCs w:val="32"/>
        </w:rPr>
        <w:t>20</w:t>
      </w:r>
      <w:r w:rsidRPr="00F45C63">
        <w:rPr>
          <w:rFonts w:ascii="仿宋" w:eastAsia="仿宋" w:hAnsi="仿宋" w:hint="eastAsia"/>
          <w:sz w:val="32"/>
          <w:szCs w:val="32"/>
        </w:rPr>
        <w:t>21年决算数持平。</w:t>
      </w:r>
    </w:p>
    <w:p w:rsidR="00BB1668" w:rsidRDefault="00757F8E">
      <w:pPr>
        <w:autoSpaceDE w:val="0"/>
        <w:autoSpaceDN w:val="0"/>
        <w:adjustRightInd w:val="0"/>
        <w:spacing w:line="600" w:lineRule="exact"/>
        <w:ind w:firstLineChars="200" w:firstLine="643"/>
        <w:jc w:val="left"/>
        <w:outlineLvl w:val="2"/>
        <w:rPr>
          <w:rFonts w:ascii="仿宋" w:eastAsia="仿宋" w:hAnsi="仿宋"/>
          <w:b/>
          <w:sz w:val="32"/>
          <w:szCs w:val="32"/>
        </w:rPr>
      </w:pPr>
      <w:bookmarkStart w:id="47" w:name="_Toc15377223"/>
      <w:r>
        <w:rPr>
          <w:rFonts w:ascii="仿宋" w:eastAsia="仿宋" w:hAnsi="仿宋" w:hint="eastAsia"/>
          <w:b/>
          <w:sz w:val="32"/>
          <w:szCs w:val="32"/>
        </w:rPr>
        <w:t>（二）政府采购支出情况</w:t>
      </w:r>
      <w:bookmarkEnd w:id="47"/>
    </w:p>
    <w:p w:rsidR="00BB1668" w:rsidRPr="00F45C63" w:rsidRDefault="00757F8E" w:rsidP="00F45C63">
      <w:pPr>
        <w:spacing w:line="600" w:lineRule="exact"/>
        <w:ind w:firstLine="640"/>
        <w:rPr>
          <w:rFonts w:ascii="仿宋" w:eastAsia="仿宋" w:hAnsi="仿宋"/>
          <w:sz w:val="32"/>
          <w:szCs w:val="32"/>
        </w:rPr>
      </w:pPr>
      <w:r w:rsidRPr="00F45C63">
        <w:rPr>
          <w:rFonts w:ascii="仿宋" w:eastAsia="仿宋" w:hAnsi="仿宋"/>
          <w:sz w:val="32"/>
          <w:szCs w:val="32"/>
        </w:rPr>
        <w:t>20</w:t>
      </w:r>
      <w:r w:rsidRPr="00F45C63">
        <w:rPr>
          <w:rFonts w:ascii="仿宋" w:eastAsia="仿宋" w:hAnsi="仿宋" w:hint="eastAsia"/>
          <w:sz w:val="32"/>
          <w:szCs w:val="32"/>
        </w:rPr>
        <w:t>22年，泸县中宏特殊教育学校政府采购支出总额0万元。</w:t>
      </w:r>
    </w:p>
    <w:p w:rsidR="00BB1668" w:rsidRDefault="00757F8E">
      <w:pPr>
        <w:autoSpaceDE w:val="0"/>
        <w:autoSpaceDN w:val="0"/>
        <w:adjustRightInd w:val="0"/>
        <w:spacing w:line="600" w:lineRule="exact"/>
        <w:ind w:firstLineChars="200" w:firstLine="643"/>
        <w:jc w:val="left"/>
        <w:outlineLvl w:val="2"/>
        <w:rPr>
          <w:rFonts w:ascii="仿宋" w:eastAsia="仿宋" w:hAnsi="仿宋"/>
          <w:b/>
          <w:sz w:val="32"/>
          <w:szCs w:val="32"/>
        </w:rPr>
      </w:pPr>
      <w:bookmarkStart w:id="48" w:name="_Toc15377224"/>
      <w:r>
        <w:rPr>
          <w:rFonts w:ascii="仿宋" w:eastAsia="仿宋" w:hAnsi="仿宋" w:hint="eastAsia"/>
          <w:b/>
          <w:sz w:val="32"/>
          <w:szCs w:val="32"/>
        </w:rPr>
        <w:t>（三）国有资产占有使用情况</w:t>
      </w:r>
      <w:bookmarkEnd w:id="48"/>
    </w:p>
    <w:p w:rsidR="00BB1668" w:rsidRDefault="00757F8E">
      <w:pPr>
        <w:autoSpaceDE w:val="0"/>
        <w:autoSpaceDN w:val="0"/>
        <w:adjustRightIn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截至</w:t>
      </w:r>
      <w:r>
        <w:rPr>
          <w:rFonts w:ascii="仿宋_GB2312" w:eastAsia="仿宋_GB2312"/>
          <w:sz w:val="32"/>
          <w:szCs w:val="32"/>
        </w:rPr>
        <w:t>20</w:t>
      </w:r>
      <w:r>
        <w:rPr>
          <w:rFonts w:ascii="仿宋_GB2312" w:eastAsia="仿宋_GB2312" w:hint="eastAsia"/>
          <w:sz w:val="32"/>
          <w:szCs w:val="32"/>
        </w:rPr>
        <w:t>22年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日，泸县中宏特殊教育学校共有车辆0辆，单价</w:t>
      </w:r>
      <w:r>
        <w:rPr>
          <w:rFonts w:ascii="仿宋_GB2312" w:eastAsia="仿宋_GB2312"/>
          <w:sz w:val="32"/>
          <w:szCs w:val="32"/>
        </w:rPr>
        <w:t>100</w:t>
      </w:r>
      <w:r>
        <w:rPr>
          <w:rFonts w:ascii="仿宋_GB2312" w:eastAsia="仿宋_GB2312" w:hint="eastAsia"/>
          <w:sz w:val="32"/>
          <w:szCs w:val="32"/>
        </w:rPr>
        <w:t>万元以上专用设备0台（套）。</w:t>
      </w:r>
    </w:p>
    <w:p w:rsidR="00BB1668" w:rsidRDefault="00757F8E">
      <w:pPr>
        <w:autoSpaceDE w:val="0"/>
        <w:autoSpaceDN w:val="0"/>
        <w:adjustRightInd w:val="0"/>
        <w:spacing w:line="600" w:lineRule="exact"/>
        <w:ind w:firstLineChars="200" w:firstLine="643"/>
        <w:jc w:val="left"/>
        <w:outlineLvl w:val="2"/>
        <w:rPr>
          <w:rFonts w:ascii="仿宋" w:eastAsia="仿宋" w:hAnsi="仿宋"/>
          <w:b/>
          <w:sz w:val="32"/>
          <w:szCs w:val="32"/>
        </w:rPr>
      </w:pPr>
      <w:r>
        <w:rPr>
          <w:rFonts w:ascii="仿宋" w:eastAsia="仿宋" w:hAnsi="仿宋" w:hint="eastAsia"/>
          <w:b/>
          <w:sz w:val="32"/>
          <w:szCs w:val="32"/>
        </w:rPr>
        <w:t>（四）预算绩效管理情况</w:t>
      </w:r>
    </w:p>
    <w:p w:rsidR="00BB1668" w:rsidRPr="00F45C63" w:rsidRDefault="00757F8E" w:rsidP="00F45C63">
      <w:pPr>
        <w:spacing w:line="600" w:lineRule="exact"/>
        <w:ind w:firstLine="640"/>
        <w:rPr>
          <w:rFonts w:ascii="仿宋" w:eastAsia="仿宋" w:hAnsi="仿宋"/>
          <w:sz w:val="32"/>
          <w:szCs w:val="32"/>
        </w:rPr>
      </w:pPr>
      <w:r w:rsidRPr="00F45C63">
        <w:rPr>
          <w:rFonts w:ascii="仿宋" w:eastAsia="仿宋" w:hAnsi="仿宋" w:hint="eastAsia"/>
          <w:sz w:val="32"/>
          <w:szCs w:val="32"/>
        </w:rPr>
        <w:t>根据预算绩效管理要求，本单位在2022年度预算编制</w:t>
      </w:r>
      <w:r w:rsidRPr="00F45C63">
        <w:rPr>
          <w:rFonts w:ascii="仿宋" w:eastAsia="仿宋" w:hAnsi="仿宋" w:hint="eastAsia"/>
          <w:sz w:val="32"/>
          <w:szCs w:val="32"/>
        </w:rPr>
        <w:lastRenderedPageBreak/>
        <w:t>阶段，组织对特殊学校暖心及改扩建工程</w:t>
      </w:r>
      <w:bookmarkStart w:id="49" w:name="_GoBack"/>
      <w:bookmarkEnd w:id="49"/>
      <w:r w:rsidRPr="00F45C63">
        <w:rPr>
          <w:rFonts w:ascii="仿宋" w:eastAsia="仿宋" w:hAnsi="仿宋" w:hint="eastAsia"/>
          <w:sz w:val="32"/>
          <w:szCs w:val="32"/>
        </w:rPr>
        <w:t>1个项目开展了预算事前绩效评估，对1个项目编制了绩效目标，预算执行过程中，选取1个项目开展绩效监控，组织对1个项目开展绩效自评，绩效自评表详见第四部分附件。</w:t>
      </w:r>
    </w:p>
    <w:p w:rsidR="00BB1668" w:rsidRDefault="00757F8E">
      <w:pPr>
        <w:widowControl/>
        <w:jc w:val="left"/>
        <w:rPr>
          <w:rFonts w:ascii="仿宋_GB2312" w:eastAsia="仿宋_GB2312"/>
          <w:b/>
          <w:sz w:val="32"/>
          <w:szCs w:val="32"/>
        </w:rPr>
      </w:pPr>
      <w:r>
        <w:rPr>
          <w:rFonts w:ascii="仿宋_GB2312" w:eastAsia="仿宋_GB2312"/>
          <w:b/>
          <w:sz w:val="32"/>
          <w:szCs w:val="32"/>
        </w:rPr>
        <w:br w:type="page"/>
      </w:r>
    </w:p>
    <w:p w:rsidR="00BB1668" w:rsidRDefault="00757F8E">
      <w:pPr>
        <w:numPr>
          <w:ilvl w:val="0"/>
          <w:numId w:val="4"/>
        </w:numPr>
        <w:spacing w:line="600" w:lineRule="exact"/>
        <w:ind w:firstLineChars="150" w:firstLine="660"/>
        <w:jc w:val="center"/>
        <w:outlineLvl w:val="0"/>
        <w:rPr>
          <w:rStyle w:val="1Char"/>
          <w:rFonts w:ascii="黑体" w:eastAsia="黑体" w:hAnsi="黑体"/>
          <w:b w:val="0"/>
        </w:rPr>
      </w:pPr>
      <w:bookmarkStart w:id="50" w:name="_Toc15377225"/>
      <w:bookmarkStart w:id="51" w:name="_Toc15396613"/>
      <w:r>
        <w:rPr>
          <w:rFonts w:ascii="黑体" w:eastAsia="黑体" w:hAnsi="黑体" w:hint="eastAsia"/>
          <w:sz w:val="44"/>
          <w:szCs w:val="44"/>
        </w:rPr>
        <w:lastRenderedPageBreak/>
        <w:t>名</w:t>
      </w:r>
      <w:r>
        <w:rPr>
          <w:rStyle w:val="1Char"/>
          <w:rFonts w:ascii="黑体" w:eastAsia="黑体" w:hAnsi="黑体" w:hint="eastAsia"/>
          <w:b w:val="0"/>
        </w:rPr>
        <w:t>词解释</w:t>
      </w:r>
      <w:bookmarkEnd w:id="50"/>
      <w:bookmarkEnd w:id="51"/>
    </w:p>
    <w:p w:rsidR="00BB1668" w:rsidRDefault="00BB1668">
      <w:pPr>
        <w:spacing w:line="600" w:lineRule="exact"/>
        <w:jc w:val="left"/>
        <w:rPr>
          <w:rFonts w:ascii="宋体"/>
          <w:b/>
          <w:sz w:val="44"/>
          <w:szCs w:val="44"/>
        </w:rPr>
      </w:pPr>
    </w:p>
    <w:p w:rsidR="00BB1668" w:rsidRPr="003978ED" w:rsidRDefault="00757F8E">
      <w:pPr>
        <w:pStyle w:val="Default"/>
        <w:spacing w:line="560" w:lineRule="exact"/>
        <w:ind w:firstLineChars="200" w:firstLine="640"/>
        <w:rPr>
          <w:rFonts w:hAnsi="仿宋" w:cs="Times New Roman"/>
          <w:color w:val="auto"/>
          <w:kern w:val="2"/>
          <w:sz w:val="32"/>
          <w:szCs w:val="32"/>
        </w:rPr>
      </w:pPr>
      <w:r w:rsidRPr="003978ED">
        <w:rPr>
          <w:rFonts w:hAnsi="仿宋" w:cs="Times New Roman"/>
          <w:color w:val="auto"/>
          <w:kern w:val="2"/>
          <w:sz w:val="32"/>
          <w:szCs w:val="32"/>
        </w:rPr>
        <w:t>1.</w:t>
      </w:r>
      <w:r w:rsidRPr="003978ED">
        <w:rPr>
          <w:rFonts w:hAnsi="仿宋" w:cs="Times New Roman" w:hint="eastAsia"/>
          <w:color w:val="auto"/>
          <w:kern w:val="2"/>
          <w:sz w:val="32"/>
          <w:szCs w:val="32"/>
        </w:rPr>
        <w:t>财政拨款收入：指单位从同级财政部门取得的财政预算资金。</w:t>
      </w:r>
    </w:p>
    <w:p w:rsidR="00BB1668" w:rsidRPr="003978ED" w:rsidRDefault="00757F8E">
      <w:pPr>
        <w:pStyle w:val="Default"/>
        <w:spacing w:line="560" w:lineRule="exact"/>
        <w:ind w:firstLineChars="200" w:firstLine="640"/>
        <w:rPr>
          <w:rFonts w:hAnsi="仿宋" w:cs="Times New Roman"/>
          <w:color w:val="auto"/>
          <w:kern w:val="2"/>
          <w:sz w:val="32"/>
          <w:szCs w:val="32"/>
        </w:rPr>
      </w:pPr>
      <w:r w:rsidRPr="003978ED">
        <w:rPr>
          <w:rFonts w:hAnsi="仿宋" w:cs="Times New Roman"/>
          <w:color w:val="auto"/>
          <w:kern w:val="2"/>
          <w:sz w:val="32"/>
          <w:szCs w:val="32"/>
        </w:rPr>
        <w:t>2.</w:t>
      </w:r>
      <w:r w:rsidRPr="003978ED">
        <w:rPr>
          <w:rFonts w:hAnsi="仿宋" w:cs="Times New Roman" w:hint="eastAsia"/>
          <w:color w:val="auto"/>
          <w:kern w:val="2"/>
          <w:sz w:val="32"/>
          <w:szCs w:val="32"/>
        </w:rPr>
        <w:t>事业收入：指事业单位开展专业业务活动及辅助活动取得的收入。如…（二级预算单位事业收入情况）等。</w:t>
      </w:r>
    </w:p>
    <w:p w:rsidR="00BB1668" w:rsidRPr="003978ED" w:rsidRDefault="00757F8E">
      <w:pPr>
        <w:pStyle w:val="Default"/>
        <w:spacing w:line="560" w:lineRule="exact"/>
        <w:ind w:firstLineChars="200" w:firstLine="640"/>
        <w:rPr>
          <w:rFonts w:hAnsi="仿宋" w:cs="Times New Roman"/>
          <w:color w:val="auto"/>
          <w:kern w:val="2"/>
          <w:sz w:val="32"/>
          <w:szCs w:val="32"/>
        </w:rPr>
      </w:pPr>
      <w:r w:rsidRPr="003978ED">
        <w:rPr>
          <w:rFonts w:hAnsi="仿宋" w:cs="Times New Roman"/>
          <w:color w:val="auto"/>
          <w:kern w:val="2"/>
          <w:sz w:val="32"/>
          <w:szCs w:val="32"/>
        </w:rPr>
        <w:t>3.</w:t>
      </w:r>
      <w:r w:rsidRPr="003978ED">
        <w:rPr>
          <w:rFonts w:hAnsi="仿宋" w:cs="Times New Roman" w:hint="eastAsia"/>
          <w:color w:val="auto"/>
          <w:kern w:val="2"/>
          <w:sz w:val="32"/>
          <w:szCs w:val="32"/>
        </w:rPr>
        <w:t>经营收入：指事业单位在专业业务活动及其辅助活动之外开展非独立核算经营活动取得的收入。如…（二级预算单位经营收入情况）等。</w:t>
      </w:r>
    </w:p>
    <w:p w:rsidR="00BB1668" w:rsidRPr="003978ED" w:rsidRDefault="00757F8E">
      <w:pPr>
        <w:pStyle w:val="Default"/>
        <w:spacing w:line="560" w:lineRule="exact"/>
        <w:ind w:firstLineChars="200" w:firstLine="640"/>
        <w:rPr>
          <w:rFonts w:hAnsi="仿宋" w:cs="Times New Roman"/>
          <w:color w:val="auto"/>
          <w:kern w:val="2"/>
          <w:sz w:val="32"/>
          <w:szCs w:val="32"/>
        </w:rPr>
      </w:pPr>
      <w:r w:rsidRPr="003978ED">
        <w:rPr>
          <w:rFonts w:hAnsi="仿宋" w:cs="Times New Roman"/>
          <w:color w:val="auto"/>
          <w:kern w:val="2"/>
          <w:sz w:val="32"/>
          <w:szCs w:val="32"/>
        </w:rPr>
        <w:t>4.</w:t>
      </w:r>
      <w:r w:rsidRPr="003978ED">
        <w:rPr>
          <w:rFonts w:hAnsi="仿宋" w:cs="Times New Roman" w:hint="eastAsia"/>
          <w:color w:val="auto"/>
          <w:kern w:val="2"/>
          <w:sz w:val="32"/>
          <w:szCs w:val="32"/>
        </w:rPr>
        <w:t>其他收入：指单位取得的除上述收入以外的各项收入。主要是…（收入类型）等。</w:t>
      </w:r>
    </w:p>
    <w:p w:rsidR="00BB1668" w:rsidRPr="003978ED" w:rsidRDefault="00757F8E">
      <w:pPr>
        <w:pStyle w:val="Default"/>
        <w:spacing w:line="560" w:lineRule="exact"/>
        <w:ind w:firstLineChars="200" w:firstLine="640"/>
        <w:rPr>
          <w:rFonts w:hAnsi="仿宋" w:cs="Times New Roman"/>
          <w:color w:val="auto"/>
          <w:kern w:val="2"/>
          <w:sz w:val="32"/>
          <w:szCs w:val="32"/>
        </w:rPr>
      </w:pPr>
      <w:r w:rsidRPr="003978ED">
        <w:rPr>
          <w:rFonts w:hAnsi="仿宋" w:cs="Times New Roman"/>
          <w:color w:val="auto"/>
          <w:kern w:val="2"/>
          <w:sz w:val="32"/>
          <w:szCs w:val="32"/>
        </w:rPr>
        <w:t>5.</w:t>
      </w:r>
      <w:r w:rsidRPr="003978ED">
        <w:rPr>
          <w:rFonts w:hAnsi="仿宋" w:cs="Times New Roman" w:hint="eastAsia"/>
          <w:color w:val="auto"/>
          <w:kern w:val="2"/>
          <w:sz w:val="32"/>
          <w:szCs w:val="32"/>
        </w:rPr>
        <w:t>使用非财政拨款结余：指事业单位使用以前年度积累的非财政拨款结余弥补当年收支差额的金额。</w:t>
      </w:r>
    </w:p>
    <w:p w:rsidR="00BB1668" w:rsidRPr="003978ED" w:rsidRDefault="00757F8E">
      <w:pPr>
        <w:pStyle w:val="Default"/>
        <w:spacing w:line="560" w:lineRule="exact"/>
        <w:ind w:firstLineChars="200" w:firstLine="640"/>
        <w:rPr>
          <w:rFonts w:hAnsi="仿宋" w:cs="Times New Roman"/>
          <w:color w:val="auto"/>
          <w:kern w:val="2"/>
          <w:sz w:val="32"/>
          <w:szCs w:val="32"/>
        </w:rPr>
      </w:pPr>
      <w:r w:rsidRPr="003978ED">
        <w:rPr>
          <w:rFonts w:hAnsi="仿宋" w:cs="Times New Roman"/>
          <w:color w:val="auto"/>
          <w:kern w:val="2"/>
          <w:sz w:val="32"/>
          <w:szCs w:val="32"/>
        </w:rPr>
        <w:t>6.</w:t>
      </w:r>
      <w:r w:rsidRPr="003978ED">
        <w:rPr>
          <w:rFonts w:hAnsi="仿宋" w:cs="Times New Roman" w:hint="eastAsia"/>
          <w:color w:val="auto"/>
          <w:kern w:val="2"/>
          <w:sz w:val="32"/>
          <w:szCs w:val="32"/>
        </w:rPr>
        <w:t>年初结转和结余：指以前年度尚未完成、结转到本年按有关规定继续使用的资金。</w:t>
      </w:r>
    </w:p>
    <w:p w:rsidR="00BB1668" w:rsidRPr="003978ED" w:rsidRDefault="00757F8E">
      <w:pPr>
        <w:pStyle w:val="Default"/>
        <w:spacing w:line="560" w:lineRule="exact"/>
        <w:ind w:firstLineChars="200" w:firstLine="640"/>
        <w:rPr>
          <w:rFonts w:hAnsi="仿宋" w:cs="Times New Roman"/>
          <w:color w:val="auto"/>
          <w:kern w:val="2"/>
          <w:sz w:val="32"/>
          <w:szCs w:val="32"/>
        </w:rPr>
      </w:pPr>
      <w:r w:rsidRPr="003978ED">
        <w:rPr>
          <w:rFonts w:hAnsi="仿宋" w:cs="Times New Roman"/>
          <w:color w:val="auto"/>
          <w:kern w:val="2"/>
          <w:sz w:val="32"/>
          <w:szCs w:val="32"/>
        </w:rPr>
        <w:t>7.</w:t>
      </w:r>
      <w:r w:rsidRPr="003978ED">
        <w:rPr>
          <w:rFonts w:hAnsi="仿宋" w:cs="Times New Roman" w:hint="eastAsia"/>
          <w:color w:val="auto"/>
          <w:kern w:val="2"/>
          <w:sz w:val="32"/>
          <w:szCs w:val="32"/>
        </w:rPr>
        <w:t>结余分配：指事业单位按照会计制度规定缴纳的所得税、提取的专用结余以及转入非财政拨款结余的金额等。</w:t>
      </w:r>
    </w:p>
    <w:p w:rsidR="00BB1668" w:rsidRPr="003978ED" w:rsidRDefault="00757F8E">
      <w:pPr>
        <w:pStyle w:val="Default"/>
        <w:spacing w:line="560" w:lineRule="exact"/>
        <w:ind w:firstLineChars="200" w:firstLine="640"/>
        <w:rPr>
          <w:rFonts w:hAnsi="仿宋" w:cs="Times New Roman"/>
          <w:color w:val="auto"/>
          <w:kern w:val="2"/>
          <w:sz w:val="32"/>
          <w:szCs w:val="32"/>
        </w:rPr>
      </w:pPr>
      <w:r w:rsidRPr="003978ED">
        <w:rPr>
          <w:rFonts w:hAnsi="仿宋" w:cs="Times New Roman"/>
          <w:color w:val="auto"/>
          <w:kern w:val="2"/>
          <w:sz w:val="32"/>
          <w:szCs w:val="32"/>
        </w:rPr>
        <w:t>8</w:t>
      </w:r>
      <w:r w:rsidRPr="003978ED">
        <w:rPr>
          <w:rFonts w:hAnsi="仿宋" w:cs="Times New Roman" w:hint="eastAsia"/>
          <w:color w:val="auto"/>
          <w:kern w:val="2"/>
          <w:sz w:val="32"/>
          <w:szCs w:val="32"/>
        </w:rPr>
        <w:t>.年末结转和结余：指单位按有关规定结转到下年或以后年度继续使用的资金。</w:t>
      </w:r>
    </w:p>
    <w:p w:rsidR="00BB1668" w:rsidRPr="003978ED" w:rsidRDefault="00757F8E">
      <w:pPr>
        <w:ind w:firstLineChars="200" w:firstLine="640"/>
        <w:rPr>
          <w:rFonts w:ascii="仿宋" w:eastAsia="仿宋" w:hAnsi="仿宋"/>
          <w:sz w:val="32"/>
          <w:szCs w:val="32"/>
        </w:rPr>
      </w:pPr>
      <w:r w:rsidRPr="003978ED">
        <w:rPr>
          <w:rFonts w:ascii="仿宋" w:eastAsia="仿宋" w:hAnsi="仿宋"/>
          <w:sz w:val="32"/>
          <w:szCs w:val="32"/>
        </w:rPr>
        <w:t>9.</w:t>
      </w:r>
      <w:r w:rsidRPr="003978ED">
        <w:rPr>
          <w:rFonts w:ascii="仿宋" w:eastAsia="仿宋" w:hAnsi="仿宋" w:hint="eastAsia"/>
          <w:sz w:val="32"/>
          <w:szCs w:val="32"/>
        </w:rPr>
        <w:t>一般公共服务（类）…（款）…（项）：指……。</w:t>
      </w:r>
    </w:p>
    <w:p w:rsidR="00BB1668" w:rsidRPr="003978ED" w:rsidRDefault="00757F8E">
      <w:pPr>
        <w:ind w:firstLineChars="200" w:firstLine="640"/>
        <w:rPr>
          <w:rFonts w:ascii="仿宋" w:eastAsia="仿宋" w:hAnsi="仿宋"/>
          <w:sz w:val="32"/>
          <w:szCs w:val="32"/>
        </w:rPr>
      </w:pPr>
      <w:r w:rsidRPr="003978ED">
        <w:rPr>
          <w:rFonts w:ascii="仿宋" w:eastAsia="仿宋" w:hAnsi="仿宋"/>
          <w:sz w:val="32"/>
          <w:szCs w:val="32"/>
        </w:rPr>
        <w:t>10.</w:t>
      </w:r>
      <w:r w:rsidRPr="003978ED">
        <w:rPr>
          <w:rFonts w:ascii="仿宋" w:eastAsia="仿宋" w:hAnsi="仿宋" w:hint="eastAsia"/>
          <w:sz w:val="32"/>
          <w:szCs w:val="32"/>
        </w:rPr>
        <w:t>外交（类）…（款）…（项）：指……。</w:t>
      </w:r>
    </w:p>
    <w:p w:rsidR="00BB1668" w:rsidRPr="003978ED" w:rsidRDefault="00757F8E">
      <w:pPr>
        <w:ind w:firstLineChars="200" w:firstLine="640"/>
        <w:rPr>
          <w:rFonts w:ascii="仿宋" w:eastAsia="仿宋" w:hAnsi="仿宋"/>
          <w:sz w:val="32"/>
          <w:szCs w:val="32"/>
        </w:rPr>
      </w:pPr>
      <w:r w:rsidRPr="003978ED">
        <w:rPr>
          <w:rFonts w:ascii="仿宋" w:eastAsia="仿宋" w:hAnsi="仿宋"/>
          <w:sz w:val="32"/>
          <w:szCs w:val="32"/>
        </w:rPr>
        <w:t>11.</w:t>
      </w:r>
      <w:r w:rsidRPr="003978ED">
        <w:rPr>
          <w:rFonts w:ascii="仿宋" w:eastAsia="仿宋" w:hAnsi="仿宋" w:hint="eastAsia"/>
          <w:sz w:val="32"/>
          <w:szCs w:val="32"/>
        </w:rPr>
        <w:t>公共安全（类）…（款）…（项）：指……。</w:t>
      </w:r>
    </w:p>
    <w:p w:rsidR="00BB1668" w:rsidRPr="003978ED" w:rsidRDefault="00757F8E">
      <w:pPr>
        <w:ind w:firstLineChars="200" w:firstLine="640"/>
        <w:rPr>
          <w:rFonts w:ascii="仿宋" w:eastAsia="仿宋" w:hAnsi="仿宋"/>
          <w:sz w:val="32"/>
          <w:szCs w:val="32"/>
        </w:rPr>
      </w:pPr>
      <w:r w:rsidRPr="003978ED">
        <w:rPr>
          <w:rFonts w:ascii="仿宋" w:eastAsia="仿宋" w:hAnsi="仿宋"/>
          <w:sz w:val="32"/>
          <w:szCs w:val="32"/>
        </w:rPr>
        <w:t>12.</w:t>
      </w:r>
      <w:r w:rsidRPr="003978ED">
        <w:rPr>
          <w:rFonts w:ascii="仿宋" w:eastAsia="仿宋" w:hAnsi="仿宋" w:hint="eastAsia"/>
          <w:sz w:val="32"/>
          <w:szCs w:val="32"/>
        </w:rPr>
        <w:t>教育（类）…（款）…（项）：指……。</w:t>
      </w:r>
    </w:p>
    <w:p w:rsidR="00BB1668" w:rsidRPr="003978ED" w:rsidRDefault="00757F8E">
      <w:pPr>
        <w:ind w:firstLineChars="200" w:firstLine="640"/>
        <w:rPr>
          <w:rFonts w:ascii="仿宋" w:eastAsia="仿宋" w:hAnsi="仿宋"/>
          <w:sz w:val="32"/>
          <w:szCs w:val="32"/>
        </w:rPr>
      </w:pPr>
      <w:r w:rsidRPr="003978ED">
        <w:rPr>
          <w:rFonts w:ascii="仿宋" w:eastAsia="仿宋" w:hAnsi="仿宋"/>
          <w:sz w:val="32"/>
          <w:szCs w:val="32"/>
        </w:rPr>
        <w:t>13.</w:t>
      </w:r>
      <w:r w:rsidRPr="003978ED">
        <w:rPr>
          <w:rFonts w:ascii="仿宋" w:eastAsia="仿宋" w:hAnsi="仿宋" w:hint="eastAsia"/>
          <w:sz w:val="32"/>
          <w:szCs w:val="32"/>
        </w:rPr>
        <w:t>科学技术（类）…（款）…（项）：指……。</w:t>
      </w:r>
    </w:p>
    <w:p w:rsidR="00BB1668" w:rsidRPr="003978ED" w:rsidRDefault="00757F8E">
      <w:pPr>
        <w:ind w:firstLineChars="200" w:firstLine="640"/>
        <w:rPr>
          <w:rFonts w:ascii="仿宋" w:eastAsia="仿宋" w:hAnsi="仿宋"/>
          <w:sz w:val="32"/>
          <w:szCs w:val="32"/>
        </w:rPr>
      </w:pPr>
      <w:r w:rsidRPr="003978ED">
        <w:rPr>
          <w:rFonts w:ascii="仿宋" w:eastAsia="仿宋" w:hAnsi="仿宋"/>
          <w:sz w:val="32"/>
          <w:szCs w:val="32"/>
        </w:rPr>
        <w:lastRenderedPageBreak/>
        <w:t>14.</w:t>
      </w:r>
      <w:r w:rsidRPr="003978ED">
        <w:rPr>
          <w:rFonts w:ascii="仿宋" w:eastAsia="仿宋" w:hAnsi="仿宋" w:hint="eastAsia"/>
          <w:sz w:val="32"/>
          <w:szCs w:val="32"/>
        </w:rPr>
        <w:t>文化旅游体育与传媒（类）…（款）…（项）：指……。</w:t>
      </w:r>
    </w:p>
    <w:p w:rsidR="00BB1668" w:rsidRPr="003978ED" w:rsidRDefault="00757F8E">
      <w:pPr>
        <w:ind w:firstLineChars="200" w:firstLine="640"/>
        <w:rPr>
          <w:rFonts w:ascii="仿宋" w:eastAsia="仿宋" w:hAnsi="仿宋"/>
          <w:sz w:val="32"/>
          <w:szCs w:val="32"/>
        </w:rPr>
      </w:pPr>
      <w:r w:rsidRPr="003978ED">
        <w:rPr>
          <w:rFonts w:ascii="仿宋" w:eastAsia="仿宋" w:hAnsi="仿宋"/>
          <w:sz w:val="32"/>
          <w:szCs w:val="32"/>
        </w:rPr>
        <w:t>15.</w:t>
      </w:r>
      <w:r w:rsidRPr="003978ED">
        <w:rPr>
          <w:rFonts w:ascii="仿宋" w:eastAsia="仿宋" w:hAnsi="仿宋" w:hint="eastAsia"/>
          <w:sz w:val="32"/>
          <w:szCs w:val="32"/>
        </w:rPr>
        <w:t>社会保障和就业（类）…（款）…（项）：指……。</w:t>
      </w:r>
    </w:p>
    <w:p w:rsidR="00BB1668" w:rsidRPr="003978ED" w:rsidRDefault="00757F8E">
      <w:pPr>
        <w:ind w:firstLineChars="200" w:firstLine="640"/>
        <w:rPr>
          <w:rFonts w:ascii="仿宋" w:eastAsia="仿宋" w:hAnsi="仿宋"/>
          <w:sz w:val="32"/>
          <w:szCs w:val="32"/>
        </w:rPr>
      </w:pPr>
      <w:r w:rsidRPr="003978ED">
        <w:rPr>
          <w:rFonts w:ascii="仿宋" w:eastAsia="仿宋" w:hAnsi="仿宋"/>
          <w:sz w:val="32"/>
          <w:szCs w:val="32"/>
        </w:rPr>
        <w:t>16.</w:t>
      </w:r>
      <w:r w:rsidRPr="003978ED">
        <w:rPr>
          <w:rFonts w:ascii="仿宋" w:eastAsia="仿宋" w:hAnsi="仿宋" w:hint="eastAsia"/>
          <w:sz w:val="32"/>
          <w:szCs w:val="32"/>
        </w:rPr>
        <w:t>卫生健康（类）…（款）…（项）：指……。</w:t>
      </w:r>
    </w:p>
    <w:p w:rsidR="00BB1668" w:rsidRPr="003978ED" w:rsidRDefault="00757F8E">
      <w:pPr>
        <w:ind w:firstLineChars="200" w:firstLine="640"/>
        <w:rPr>
          <w:rFonts w:ascii="仿宋" w:eastAsia="仿宋" w:hAnsi="仿宋"/>
          <w:sz w:val="32"/>
          <w:szCs w:val="32"/>
        </w:rPr>
      </w:pPr>
      <w:r w:rsidRPr="003978ED">
        <w:rPr>
          <w:rFonts w:ascii="仿宋" w:eastAsia="仿宋" w:hAnsi="仿宋"/>
          <w:sz w:val="32"/>
          <w:szCs w:val="32"/>
        </w:rPr>
        <w:t>17.</w:t>
      </w:r>
      <w:r w:rsidRPr="003978ED">
        <w:rPr>
          <w:rFonts w:ascii="仿宋" w:eastAsia="仿宋" w:hAnsi="仿宋" w:hint="eastAsia"/>
          <w:sz w:val="32"/>
          <w:szCs w:val="32"/>
        </w:rPr>
        <w:t>节能环保（类）…（款）…（项）：指……。</w:t>
      </w:r>
    </w:p>
    <w:p w:rsidR="00BB1668" w:rsidRPr="003978ED" w:rsidRDefault="00757F8E">
      <w:pPr>
        <w:ind w:firstLineChars="200" w:firstLine="640"/>
        <w:rPr>
          <w:rFonts w:ascii="仿宋" w:eastAsia="仿宋" w:hAnsi="仿宋"/>
          <w:sz w:val="32"/>
          <w:szCs w:val="32"/>
        </w:rPr>
      </w:pPr>
      <w:r w:rsidRPr="003978ED">
        <w:rPr>
          <w:rFonts w:ascii="仿宋" w:eastAsia="仿宋" w:hAnsi="仿宋"/>
          <w:sz w:val="32"/>
          <w:szCs w:val="32"/>
        </w:rPr>
        <w:t>18.</w:t>
      </w:r>
      <w:r w:rsidRPr="003978ED">
        <w:rPr>
          <w:rFonts w:ascii="仿宋" w:eastAsia="仿宋" w:hAnsi="仿宋" w:hint="eastAsia"/>
          <w:sz w:val="32"/>
          <w:szCs w:val="32"/>
        </w:rPr>
        <w:t>城乡社区（类）…（款）…（项）：指……。</w:t>
      </w:r>
    </w:p>
    <w:p w:rsidR="00BB1668" w:rsidRPr="003978ED" w:rsidRDefault="00757F8E">
      <w:pPr>
        <w:ind w:firstLineChars="200" w:firstLine="640"/>
        <w:rPr>
          <w:rFonts w:ascii="仿宋" w:eastAsia="仿宋" w:hAnsi="仿宋"/>
          <w:sz w:val="32"/>
          <w:szCs w:val="32"/>
        </w:rPr>
      </w:pPr>
      <w:r w:rsidRPr="003978ED">
        <w:rPr>
          <w:rFonts w:ascii="仿宋" w:eastAsia="仿宋" w:hAnsi="仿宋"/>
          <w:sz w:val="32"/>
          <w:szCs w:val="32"/>
        </w:rPr>
        <w:t>19.</w:t>
      </w:r>
      <w:r w:rsidRPr="003978ED">
        <w:rPr>
          <w:rFonts w:ascii="仿宋" w:eastAsia="仿宋" w:hAnsi="仿宋" w:hint="eastAsia"/>
          <w:sz w:val="32"/>
          <w:szCs w:val="32"/>
        </w:rPr>
        <w:t>农林水（类）…（款）…（项）：指……。</w:t>
      </w:r>
    </w:p>
    <w:p w:rsidR="00BB1668" w:rsidRPr="003978ED" w:rsidRDefault="00757F8E">
      <w:pPr>
        <w:ind w:firstLineChars="200" w:firstLine="640"/>
        <w:rPr>
          <w:rFonts w:ascii="仿宋" w:eastAsia="仿宋" w:hAnsi="仿宋"/>
          <w:sz w:val="32"/>
          <w:szCs w:val="32"/>
        </w:rPr>
      </w:pPr>
      <w:r w:rsidRPr="003978ED">
        <w:rPr>
          <w:rFonts w:ascii="仿宋" w:eastAsia="仿宋" w:hAnsi="仿宋"/>
          <w:sz w:val="32"/>
          <w:szCs w:val="32"/>
        </w:rPr>
        <w:t>20.</w:t>
      </w:r>
      <w:r w:rsidRPr="003978ED">
        <w:rPr>
          <w:rFonts w:ascii="仿宋" w:eastAsia="仿宋" w:hAnsi="仿宋" w:hint="eastAsia"/>
          <w:sz w:val="32"/>
          <w:szCs w:val="32"/>
        </w:rPr>
        <w:t>交通运输（类）…（款）…（项）：指……。</w:t>
      </w:r>
    </w:p>
    <w:p w:rsidR="00BB1668" w:rsidRPr="003978ED" w:rsidRDefault="00757F8E">
      <w:pPr>
        <w:ind w:firstLineChars="200" w:firstLine="640"/>
        <w:rPr>
          <w:rFonts w:ascii="仿宋" w:eastAsia="仿宋" w:hAnsi="仿宋"/>
          <w:sz w:val="32"/>
          <w:szCs w:val="32"/>
        </w:rPr>
      </w:pPr>
      <w:r w:rsidRPr="003978ED">
        <w:rPr>
          <w:rFonts w:ascii="仿宋" w:eastAsia="仿宋" w:hAnsi="仿宋"/>
          <w:sz w:val="32"/>
          <w:szCs w:val="32"/>
        </w:rPr>
        <w:t>21.</w:t>
      </w:r>
      <w:r w:rsidRPr="003978ED">
        <w:rPr>
          <w:rFonts w:ascii="仿宋" w:eastAsia="仿宋" w:hAnsi="仿宋" w:hint="eastAsia"/>
          <w:sz w:val="32"/>
          <w:szCs w:val="32"/>
        </w:rPr>
        <w:t>资源勘探工业信息等（类）…（款）…（项）：指……。</w:t>
      </w:r>
    </w:p>
    <w:p w:rsidR="00BB1668" w:rsidRPr="003978ED" w:rsidRDefault="00757F8E">
      <w:pPr>
        <w:ind w:firstLineChars="200" w:firstLine="640"/>
        <w:rPr>
          <w:rFonts w:ascii="仿宋" w:eastAsia="仿宋" w:hAnsi="仿宋"/>
          <w:sz w:val="32"/>
          <w:szCs w:val="32"/>
        </w:rPr>
      </w:pPr>
      <w:r w:rsidRPr="003978ED">
        <w:rPr>
          <w:rFonts w:ascii="仿宋" w:eastAsia="仿宋" w:hAnsi="仿宋"/>
          <w:sz w:val="32"/>
          <w:szCs w:val="32"/>
        </w:rPr>
        <w:t>22.</w:t>
      </w:r>
      <w:r w:rsidRPr="003978ED">
        <w:rPr>
          <w:rFonts w:ascii="仿宋" w:eastAsia="仿宋" w:hAnsi="仿宋" w:hint="eastAsia"/>
          <w:sz w:val="32"/>
          <w:szCs w:val="32"/>
        </w:rPr>
        <w:t>商业服务业（类）…（款）…（项）：指……。</w:t>
      </w:r>
    </w:p>
    <w:p w:rsidR="00BB1668" w:rsidRPr="003978ED" w:rsidRDefault="00757F8E">
      <w:pPr>
        <w:ind w:firstLineChars="200" w:firstLine="640"/>
        <w:rPr>
          <w:rFonts w:ascii="仿宋" w:eastAsia="仿宋" w:hAnsi="仿宋"/>
          <w:sz w:val="32"/>
          <w:szCs w:val="32"/>
        </w:rPr>
      </w:pPr>
      <w:r w:rsidRPr="003978ED">
        <w:rPr>
          <w:rFonts w:ascii="仿宋" w:eastAsia="仿宋" w:hAnsi="仿宋"/>
          <w:sz w:val="32"/>
          <w:szCs w:val="32"/>
        </w:rPr>
        <w:t>23.</w:t>
      </w:r>
      <w:r w:rsidRPr="003978ED">
        <w:rPr>
          <w:rFonts w:ascii="仿宋" w:eastAsia="仿宋" w:hAnsi="仿宋" w:hint="eastAsia"/>
          <w:sz w:val="32"/>
          <w:szCs w:val="32"/>
        </w:rPr>
        <w:t>金融（类）…（款）…（项）：指……。</w:t>
      </w:r>
    </w:p>
    <w:p w:rsidR="00BB1668" w:rsidRPr="003978ED" w:rsidRDefault="00757F8E">
      <w:pPr>
        <w:ind w:firstLineChars="200" w:firstLine="640"/>
        <w:rPr>
          <w:rFonts w:ascii="仿宋" w:eastAsia="仿宋" w:hAnsi="仿宋"/>
          <w:sz w:val="32"/>
          <w:szCs w:val="32"/>
        </w:rPr>
      </w:pPr>
      <w:r w:rsidRPr="003978ED">
        <w:rPr>
          <w:rFonts w:ascii="仿宋" w:eastAsia="仿宋" w:hAnsi="仿宋"/>
          <w:sz w:val="32"/>
          <w:szCs w:val="32"/>
        </w:rPr>
        <w:t>24.</w:t>
      </w:r>
      <w:r w:rsidRPr="003978ED">
        <w:rPr>
          <w:rFonts w:ascii="仿宋" w:eastAsia="仿宋" w:hAnsi="仿宋" w:hint="eastAsia"/>
          <w:sz w:val="32"/>
          <w:szCs w:val="32"/>
        </w:rPr>
        <w:t>自然资源海洋气象等（类）…（款）…（项）：指……。</w:t>
      </w:r>
    </w:p>
    <w:p w:rsidR="00BB1668" w:rsidRPr="003978ED" w:rsidRDefault="00757F8E">
      <w:pPr>
        <w:ind w:firstLineChars="200" w:firstLine="640"/>
        <w:rPr>
          <w:rFonts w:ascii="仿宋" w:eastAsia="仿宋" w:hAnsi="仿宋"/>
          <w:sz w:val="32"/>
          <w:szCs w:val="32"/>
        </w:rPr>
      </w:pPr>
      <w:r w:rsidRPr="003978ED">
        <w:rPr>
          <w:rFonts w:ascii="仿宋" w:eastAsia="仿宋" w:hAnsi="仿宋"/>
          <w:sz w:val="32"/>
          <w:szCs w:val="32"/>
        </w:rPr>
        <w:t>25.</w:t>
      </w:r>
      <w:r w:rsidRPr="003978ED">
        <w:rPr>
          <w:rFonts w:ascii="仿宋" w:eastAsia="仿宋" w:hAnsi="仿宋" w:hint="eastAsia"/>
          <w:sz w:val="32"/>
          <w:szCs w:val="32"/>
        </w:rPr>
        <w:t>住房保障（类）…（款）…（项）：指……。</w:t>
      </w:r>
    </w:p>
    <w:p w:rsidR="00BB1668" w:rsidRPr="003978ED" w:rsidRDefault="00757F8E">
      <w:pPr>
        <w:ind w:firstLineChars="200" w:firstLine="640"/>
        <w:rPr>
          <w:rFonts w:ascii="仿宋" w:eastAsia="仿宋" w:hAnsi="仿宋"/>
          <w:sz w:val="32"/>
          <w:szCs w:val="32"/>
        </w:rPr>
      </w:pPr>
      <w:r w:rsidRPr="003978ED">
        <w:rPr>
          <w:rFonts w:ascii="仿宋" w:eastAsia="仿宋" w:hAnsi="仿宋"/>
          <w:sz w:val="32"/>
          <w:szCs w:val="32"/>
        </w:rPr>
        <w:t>26.</w:t>
      </w:r>
      <w:r w:rsidRPr="003978ED">
        <w:rPr>
          <w:rFonts w:ascii="仿宋" w:eastAsia="仿宋" w:hAnsi="仿宋" w:hint="eastAsia"/>
          <w:sz w:val="32"/>
          <w:szCs w:val="32"/>
        </w:rPr>
        <w:t>粮油物资储备（类）…（款）…（项）：指……。</w:t>
      </w:r>
    </w:p>
    <w:p w:rsidR="00BB1668" w:rsidRPr="003978ED" w:rsidRDefault="00757F8E">
      <w:pPr>
        <w:ind w:firstLineChars="200" w:firstLine="640"/>
        <w:rPr>
          <w:rFonts w:ascii="仿宋" w:eastAsia="仿宋" w:hAnsi="仿宋"/>
          <w:sz w:val="32"/>
          <w:szCs w:val="32"/>
        </w:rPr>
      </w:pPr>
      <w:r w:rsidRPr="003978ED">
        <w:rPr>
          <w:rFonts w:ascii="仿宋" w:eastAsia="仿宋" w:hAnsi="仿宋"/>
          <w:sz w:val="32"/>
          <w:szCs w:val="32"/>
        </w:rPr>
        <w:t>27.</w:t>
      </w:r>
      <w:r w:rsidRPr="003978ED">
        <w:rPr>
          <w:rFonts w:ascii="仿宋" w:eastAsia="仿宋" w:hAnsi="仿宋" w:hint="eastAsia"/>
          <w:sz w:val="32"/>
          <w:szCs w:val="32"/>
        </w:rPr>
        <w:t>基本支出：指为保障机构正常运转、完成日常工作任务而发生的人员支出和公用支出。</w:t>
      </w:r>
    </w:p>
    <w:p w:rsidR="00BB1668" w:rsidRPr="003978ED" w:rsidRDefault="00757F8E">
      <w:pPr>
        <w:ind w:firstLineChars="200" w:firstLine="640"/>
        <w:rPr>
          <w:rFonts w:ascii="仿宋" w:eastAsia="仿宋" w:hAnsi="仿宋"/>
          <w:sz w:val="32"/>
          <w:szCs w:val="32"/>
        </w:rPr>
      </w:pPr>
      <w:r w:rsidRPr="003978ED">
        <w:rPr>
          <w:rFonts w:ascii="仿宋" w:eastAsia="仿宋" w:hAnsi="仿宋"/>
          <w:sz w:val="32"/>
          <w:szCs w:val="32"/>
        </w:rPr>
        <w:t>28.</w:t>
      </w:r>
      <w:r w:rsidRPr="003978ED">
        <w:rPr>
          <w:rFonts w:ascii="仿宋" w:eastAsia="仿宋" w:hAnsi="仿宋" w:hint="eastAsia"/>
          <w:sz w:val="32"/>
          <w:szCs w:val="32"/>
        </w:rPr>
        <w:t>项目支出：指在基本支出之外为完成特定行政任务和事业发展目标所发生的支出。</w:t>
      </w:r>
    </w:p>
    <w:p w:rsidR="00BB1668" w:rsidRPr="003978ED" w:rsidRDefault="00757F8E">
      <w:pPr>
        <w:ind w:firstLineChars="200" w:firstLine="640"/>
        <w:rPr>
          <w:rFonts w:ascii="仿宋" w:eastAsia="仿宋" w:hAnsi="仿宋"/>
          <w:sz w:val="32"/>
          <w:szCs w:val="32"/>
        </w:rPr>
      </w:pPr>
      <w:r w:rsidRPr="003978ED">
        <w:rPr>
          <w:rFonts w:ascii="仿宋" w:eastAsia="仿宋" w:hAnsi="仿宋"/>
          <w:sz w:val="32"/>
          <w:szCs w:val="32"/>
        </w:rPr>
        <w:t>29.</w:t>
      </w:r>
      <w:r w:rsidRPr="003978ED">
        <w:rPr>
          <w:rFonts w:ascii="仿宋" w:eastAsia="仿宋" w:hAnsi="仿宋" w:hint="eastAsia"/>
          <w:sz w:val="32"/>
          <w:szCs w:val="32"/>
        </w:rPr>
        <w:t>经营支出：指事业单位在专业业务活动及其辅助活动之外开展非独立核算经营活动发生的支出。</w:t>
      </w:r>
    </w:p>
    <w:p w:rsidR="00BB1668" w:rsidRPr="003978ED" w:rsidRDefault="00757F8E">
      <w:pPr>
        <w:pStyle w:val="Default"/>
        <w:spacing w:line="560" w:lineRule="exact"/>
        <w:ind w:firstLineChars="200" w:firstLine="640"/>
        <w:rPr>
          <w:rFonts w:hAnsi="仿宋" w:cs="Times New Roman"/>
          <w:color w:val="auto"/>
          <w:kern w:val="2"/>
          <w:sz w:val="32"/>
          <w:szCs w:val="32"/>
        </w:rPr>
      </w:pPr>
      <w:r w:rsidRPr="003978ED">
        <w:rPr>
          <w:rFonts w:hAnsi="仿宋" w:cs="Times New Roman"/>
          <w:color w:val="auto"/>
          <w:kern w:val="2"/>
          <w:sz w:val="32"/>
          <w:szCs w:val="32"/>
        </w:rPr>
        <w:t>30.</w:t>
      </w:r>
      <w:r w:rsidRPr="003978ED">
        <w:rPr>
          <w:rFonts w:hAnsi="仿宋" w:cs="Times New Roman" w:hint="eastAsia"/>
          <w:color w:val="auto"/>
          <w:kern w:val="2"/>
          <w:sz w:val="32"/>
          <w:szCs w:val="32"/>
        </w:rPr>
        <w:t>“三公”经费：指单位用财政拨款安排的因公出国（境）费、公务用车购置及运行费和公务接待费。其中，因公出国（境）费反映单位公务出国（境）的国际旅费、国外</w:t>
      </w:r>
      <w:r w:rsidRPr="003978ED">
        <w:rPr>
          <w:rFonts w:hAnsi="仿宋" w:cs="Times New Roman" w:hint="eastAsia"/>
          <w:color w:val="auto"/>
          <w:kern w:val="2"/>
          <w:sz w:val="32"/>
          <w:szCs w:val="32"/>
        </w:rPr>
        <w:lastRenderedPageBreak/>
        <w:t>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BB1668" w:rsidRPr="003978ED" w:rsidRDefault="00757F8E">
      <w:pPr>
        <w:pStyle w:val="Default"/>
        <w:spacing w:line="560" w:lineRule="exact"/>
        <w:ind w:firstLineChars="200" w:firstLine="640"/>
        <w:rPr>
          <w:rFonts w:hAnsi="仿宋" w:cs="Times New Roman"/>
          <w:color w:val="auto"/>
          <w:kern w:val="2"/>
          <w:sz w:val="32"/>
          <w:szCs w:val="32"/>
        </w:rPr>
      </w:pPr>
      <w:r w:rsidRPr="003978ED">
        <w:rPr>
          <w:rFonts w:hAnsi="仿宋" w:cs="Times New Roman"/>
          <w:color w:val="auto"/>
          <w:kern w:val="2"/>
          <w:sz w:val="32"/>
          <w:szCs w:val="32"/>
        </w:rPr>
        <w:t>31.</w:t>
      </w:r>
      <w:r w:rsidRPr="003978ED">
        <w:rPr>
          <w:rFonts w:hAnsi="仿宋" w:cs="Times New Roman" w:hint="eastAsia"/>
          <w:color w:val="auto"/>
          <w:kern w:val="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F45C63" w:rsidRPr="003978ED" w:rsidRDefault="00F45C63">
      <w:pPr>
        <w:spacing w:line="600" w:lineRule="exact"/>
        <w:outlineLvl w:val="0"/>
        <w:rPr>
          <w:rFonts w:ascii="仿宋" w:eastAsia="仿宋" w:hAnsi="仿宋"/>
          <w:sz w:val="32"/>
          <w:szCs w:val="32"/>
        </w:rPr>
      </w:pPr>
      <w:bookmarkStart w:id="52" w:name="_Toc15396614"/>
      <w:bookmarkStart w:id="53" w:name="_Toc15377226"/>
    </w:p>
    <w:p w:rsidR="00F45C63" w:rsidRDefault="00F45C63">
      <w:pPr>
        <w:spacing w:line="600" w:lineRule="exact"/>
        <w:outlineLvl w:val="0"/>
        <w:rPr>
          <w:rFonts w:ascii="黑体" w:eastAsia="黑体" w:hAnsi="黑体"/>
          <w:sz w:val="44"/>
          <w:szCs w:val="44"/>
        </w:rPr>
      </w:pPr>
    </w:p>
    <w:p w:rsidR="00F45C63" w:rsidRDefault="00F45C63">
      <w:pPr>
        <w:spacing w:line="600" w:lineRule="exact"/>
        <w:outlineLvl w:val="0"/>
        <w:rPr>
          <w:rFonts w:ascii="黑体" w:eastAsia="黑体" w:hAnsi="黑体"/>
          <w:sz w:val="44"/>
          <w:szCs w:val="44"/>
        </w:rPr>
      </w:pPr>
    </w:p>
    <w:p w:rsidR="00F45C63" w:rsidRDefault="00F45C63">
      <w:pPr>
        <w:spacing w:line="600" w:lineRule="exact"/>
        <w:outlineLvl w:val="0"/>
        <w:rPr>
          <w:rFonts w:ascii="黑体" w:eastAsia="黑体" w:hAnsi="黑体"/>
          <w:sz w:val="44"/>
          <w:szCs w:val="44"/>
        </w:rPr>
      </w:pPr>
    </w:p>
    <w:p w:rsidR="00F45C63" w:rsidRDefault="00F45C63">
      <w:pPr>
        <w:spacing w:line="600" w:lineRule="exact"/>
        <w:outlineLvl w:val="0"/>
        <w:rPr>
          <w:rFonts w:ascii="黑体" w:eastAsia="黑体" w:hAnsi="黑体"/>
          <w:sz w:val="44"/>
          <w:szCs w:val="44"/>
        </w:rPr>
      </w:pPr>
    </w:p>
    <w:p w:rsidR="00F45C63" w:rsidRDefault="00F45C63">
      <w:pPr>
        <w:spacing w:line="600" w:lineRule="exact"/>
        <w:outlineLvl w:val="0"/>
        <w:rPr>
          <w:rFonts w:ascii="黑体" w:eastAsia="黑体" w:hAnsi="黑体"/>
          <w:sz w:val="44"/>
          <w:szCs w:val="44"/>
        </w:rPr>
      </w:pPr>
    </w:p>
    <w:p w:rsidR="00F45C63" w:rsidRDefault="00F45C63">
      <w:pPr>
        <w:spacing w:line="600" w:lineRule="exact"/>
        <w:outlineLvl w:val="0"/>
        <w:rPr>
          <w:rFonts w:ascii="黑体" w:eastAsia="黑体" w:hAnsi="黑体"/>
          <w:sz w:val="44"/>
          <w:szCs w:val="44"/>
        </w:rPr>
      </w:pPr>
    </w:p>
    <w:p w:rsidR="00F45C63" w:rsidRDefault="00F45C63">
      <w:pPr>
        <w:spacing w:line="600" w:lineRule="exact"/>
        <w:outlineLvl w:val="0"/>
        <w:rPr>
          <w:rFonts w:ascii="黑体" w:eastAsia="黑体" w:hAnsi="黑体"/>
          <w:sz w:val="44"/>
          <w:szCs w:val="44"/>
        </w:rPr>
      </w:pPr>
    </w:p>
    <w:p w:rsidR="00F45C63" w:rsidRDefault="00F45C63">
      <w:pPr>
        <w:spacing w:line="600" w:lineRule="exact"/>
        <w:outlineLvl w:val="0"/>
        <w:rPr>
          <w:rFonts w:ascii="黑体" w:eastAsia="黑体" w:hAnsi="黑体"/>
          <w:sz w:val="44"/>
          <w:szCs w:val="44"/>
        </w:rPr>
      </w:pPr>
    </w:p>
    <w:p w:rsidR="00F45C63" w:rsidRDefault="00F45C63" w:rsidP="00F45C63">
      <w:pPr>
        <w:pStyle w:val="a0"/>
        <w:spacing w:before="93"/>
      </w:pPr>
    </w:p>
    <w:p w:rsidR="00F45C63" w:rsidRDefault="00F45C63" w:rsidP="00F45C63">
      <w:pPr>
        <w:pStyle w:val="a0"/>
        <w:spacing w:before="93"/>
      </w:pPr>
    </w:p>
    <w:p w:rsidR="00F45C63" w:rsidRPr="00F45C63" w:rsidRDefault="00F45C63" w:rsidP="00F45C63">
      <w:pPr>
        <w:pStyle w:val="a0"/>
        <w:spacing w:before="93"/>
      </w:pPr>
    </w:p>
    <w:p w:rsidR="00BB1668" w:rsidRDefault="00757F8E" w:rsidP="00E12603">
      <w:pPr>
        <w:spacing w:line="600" w:lineRule="exact"/>
        <w:jc w:val="center"/>
        <w:outlineLvl w:val="0"/>
        <w:rPr>
          <w:rStyle w:val="1Char"/>
          <w:rFonts w:ascii="黑体" w:eastAsia="黑体" w:hAnsi="黑体"/>
          <w:b w:val="0"/>
        </w:rPr>
      </w:pPr>
      <w:r>
        <w:rPr>
          <w:rFonts w:ascii="黑体" w:eastAsia="黑体" w:hAnsi="黑体" w:hint="eastAsia"/>
          <w:sz w:val="44"/>
          <w:szCs w:val="44"/>
        </w:rPr>
        <w:lastRenderedPageBreak/>
        <w:t>第</w:t>
      </w:r>
      <w:r>
        <w:rPr>
          <w:rStyle w:val="1Char"/>
          <w:rFonts w:ascii="黑体" w:eastAsia="黑体" w:hAnsi="黑体" w:hint="eastAsia"/>
          <w:b w:val="0"/>
        </w:rPr>
        <w:t>四部分 附件</w:t>
      </w:r>
      <w:bookmarkEnd w:id="52"/>
    </w:p>
    <w:p w:rsidR="00BB1668" w:rsidRDefault="00BB1668">
      <w:pPr>
        <w:spacing w:line="572" w:lineRule="exact"/>
        <w:jc w:val="left"/>
        <w:outlineLvl w:val="0"/>
        <w:rPr>
          <w:rFonts w:ascii="仿宋_GB2312" w:eastAsia="仿宋_GB2312" w:hAnsi="仿宋_GB2312" w:cs="仿宋_GB2312"/>
          <w:sz w:val="32"/>
          <w:szCs w:val="32"/>
        </w:rPr>
      </w:pPr>
    </w:p>
    <w:p w:rsidR="00BB1668" w:rsidRDefault="00F45C63">
      <w:pPr>
        <w:spacing w:line="600" w:lineRule="exact"/>
        <w:jc w:val="center"/>
        <w:outlineLvl w:val="0"/>
        <w:rPr>
          <w:rFonts w:ascii="宋体" w:hAnsi="宋体" w:cs="宋体"/>
          <w:kern w:val="0"/>
          <w:sz w:val="32"/>
          <w:szCs w:val="32"/>
        </w:rPr>
      </w:pPr>
      <w:bookmarkStart w:id="54" w:name="_Toc15396618"/>
      <w:r>
        <w:rPr>
          <w:rFonts w:ascii="宋体" w:hAnsi="宋体" w:cs="宋体" w:hint="eastAsia"/>
          <w:kern w:val="0"/>
          <w:sz w:val="32"/>
          <w:szCs w:val="32"/>
        </w:rPr>
        <w:t>单位</w:t>
      </w:r>
      <w:r w:rsidR="00757F8E">
        <w:rPr>
          <w:rFonts w:ascii="宋体" w:hAnsi="宋体" w:cs="宋体" w:hint="eastAsia"/>
          <w:kern w:val="0"/>
          <w:sz w:val="32"/>
          <w:szCs w:val="32"/>
        </w:rPr>
        <w:t>预算项目支出绩效自评表（2022年度）</w:t>
      </w:r>
    </w:p>
    <w:p w:rsidR="00BB1668" w:rsidRDefault="00BB1668">
      <w:pPr>
        <w:spacing w:line="600" w:lineRule="exact"/>
        <w:jc w:val="left"/>
        <w:outlineLvl w:val="0"/>
        <w:rPr>
          <w:rFonts w:ascii="仿宋_GB2312" w:eastAsia="仿宋_GB2312" w:hAnsi="Calibri" w:cs="仿宋"/>
          <w:kern w:val="0"/>
          <w:sz w:val="32"/>
          <w:szCs w:val="32"/>
        </w:rPr>
      </w:pPr>
    </w:p>
    <w:tbl>
      <w:tblPr>
        <w:tblW w:w="8846" w:type="dxa"/>
        <w:jc w:val="center"/>
        <w:tblInd w:w="1262" w:type="dxa"/>
        <w:tblLook w:val="04A0"/>
      </w:tblPr>
      <w:tblGrid>
        <w:gridCol w:w="852"/>
        <w:gridCol w:w="1134"/>
        <w:gridCol w:w="617"/>
        <w:gridCol w:w="756"/>
        <w:gridCol w:w="666"/>
        <w:gridCol w:w="836"/>
        <w:gridCol w:w="916"/>
        <w:gridCol w:w="661"/>
        <w:gridCol w:w="505"/>
        <w:gridCol w:w="361"/>
        <w:gridCol w:w="35"/>
        <w:gridCol w:w="1507"/>
      </w:tblGrid>
      <w:tr w:rsidR="00BB1668" w:rsidTr="00F45C63">
        <w:trPr>
          <w:trHeight w:val="904"/>
          <w:jc w:val="center"/>
        </w:trPr>
        <w:tc>
          <w:tcPr>
            <w:tcW w:w="8846"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BB1668" w:rsidRDefault="00F45C63">
            <w:pPr>
              <w:widowControl/>
              <w:jc w:val="center"/>
              <w:textAlignment w:val="center"/>
              <w:rPr>
                <w:rFonts w:ascii="黑体" w:eastAsia="黑体" w:hAnsi="宋体" w:cs="黑体"/>
                <w:b/>
                <w:bCs/>
                <w:color w:val="000000"/>
                <w:sz w:val="30"/>
                <w:szCs w:val="30"/>
              </w:rPr>
            </w:pPr>
            <w:r>
              <w:rPr>
                <w:rFonts w:ascii="黑体" w:eastAsia="黑体" w:hAnsi="宋体" w:cs="黑体" w:hint="eastAsia"/>
                <w:b/>
                <w:bCs/>
                <w:color w:val="000000"/>
                <w:kern w:val="0"/>
                <w:sz w:val="30"/>
                <w:szCs w:val="30"/>
              </w:rPr>
              <w:t>单位</w:t>
            </w:r>
            <w:r w:rsidR="00757F8E">
              <w:rPr>
                <w:rFonts w:ascii="黑体" w:eastAsia="黑体" w:hAnsi="宋体" w:cs="黑体" w:hint="eastAsia"/>
                <w:b/>
                <w:bCs/>
                <w:color w:val="000000"/>
                <w:kern w:val="0"/>
                <w:sz w:val="30"/>
                <w:szCs w:val="30"/>
              </w:rPr>
              <w:t>预算项目支出绩效自评表（2022年度）</w:t>
            </w:r>
          </w:p>
        </w:tc>
      </w:tr>
      <w:tr w:rsidR="00BB1668" w:rsidTr="00F45C63">
        <w:trPr>
          <w:trHeight w:val="285"/>
          <w:jc w:val="center"/>
        </w:trPr>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B1668" w:rsidRDefault="00757F8E">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686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BB1668" w:rsidRDefault="00757F8E">
            <w:pPr>
              <w:widowControl/>
              <w:jc w:val="left"/>
              <w:textAlignment w:val="center"/>
              <w:rPr>
                <w:rFonts w:ascii="宋体" w:hAnsi="宋体" w:cs="宋体"/>
                <w:color w:val="000000"/>
                <w:sz w:val="18"/>
                <w:szCs w:val="18"/>
              </w:rPr>
            </w:pPr>
            <w:r>
              <w:rPr>
                <w:rFonts w:ascii="宋体" w:hAnsi="宋体" w:cs="宋体"/>
                <w:color w:val="000000"/>
                <w:kern w:val="0"/>
                <w:sz w:val="18"/>
                <w:szCs w:val="18"/>
              </w:rPr>
              <w:t>51052122T000005300527-特殊学校暖心及改扩建工程</w:t>
            </w:r>
          </w:p>
        </w:tc>
      </w:tr>
      <w:tr w:rsidR="00F45C63" w:rsidTr="00F45C63">
        <w:trPr>
          <w:trHeight w:val="514"/>
          <w:jc w:val="center"/>
        </w:trPr>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B1668" w:rsidRDefault="00757F8E">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20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B1668" w:rsidRDefault="00757F8E">
            <w:pPr>
              <w:widowControl/>
              <w:jc w:val="left"/>
              <w:textAlignment w:val="center"/>
              <w:rPr>
                <w:rFonts w:ascii="宋体" w:hAnsi="宋体" w:cs="宋体"/>
                <w:color w:val="000000"/>
                <w:sz w:val="18"/>
                <w:szCs w:val="18"/>
              </w:rPr>
            </w:pPr>
            <w:r>
              <w:rPr>
                <w:rFonts w:ascii="宋体" w:hAnsi="宋体" w:cs="宋体"/>
                <w:color w:val="000000"/>
                <w:kern w:val="0"/>
                <w:sz w:val="18"/>
                <w:szCs w:val="18"/>
              </w:rPr>
              <w:t>教育部门</w:t>
            </w:r>
          </w:p>
        </w:tc>
        <w:tc>
          <w:tcPr>
            <w:tcW w:w="3279" w:type="dxa"/>
            <w:gridSpan w:val="5"/>
            <w:tcBorders>
              <w:top w:val="nil"/>
              <w:left w:val="nil"/>
              <w:bottom w:val="nil"/>
              <w:right w:val="nil"/>
            </w:tcBorders>
            <w:shd w:val="clear" w:color="auto" w:fill="auto"/>
            <w:vAlign w:val="center"/>
          </w:tcPr>
          <w:p w:rsidR="00BB1668" w:rsidRDefault="00757F8E">
            <w:pPr>
              <w:widowControl/>
              <w:jc w:val="left"/>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rPr>
              <w:t>实施单位 （盖章）</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B1668" w:rsidRDefault="00757F8E">
            <w:pPr>
              <w:widowControl/>
              <w:jc w:val="center"/>
              <w:textAlignment w:val="center"/>
              <w:rPr>
                <w:rFonts w:ascii="宋体" w:hAnsi="宋体" w:cs="宋体"/>
                <w:color w:val="000000"/>
                <w:sz w:val="18"/>
                <w:szCs w:val="18"/>
              </w:rPr>
            </w:pPr>
            <w:r>
              <w:rPr>
                <w:rFonts w:ascii="宋体" w:hAnsi="宋体" w:cs="宋体"/>
                <w:color w:val="000000"/>
                <w:kern w:val="0"/>
                <w:sz w:val="18"/>
                <w:szCs w:val="18"/>
              </w:rPr>
              <w:t>泸县中宏特殊教育学校</w:t>
            </w:r>
          </w:p>
        </w:tc>
      </w:tr>
      <w:tr w:rsidR="00F45C63" w:rsidTr="00F45C63">
        <w:trPr>
          <w:trHeight w:val="285"/>
          <w:jc w:val="center"/>
        </w:trPr>
        <w:tc>
          <w:tcPr>
            <w:tcW w:w="8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1668" w:rsidRDefault="00757F8E">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1668" w:rsidRDefault="00757F8E">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20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B1668" w:rsidRDefault="00757F8E">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482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B1668" w:rsidRDefault="00757F8E">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rPr>
              <w:t>年度目标完成情况</w:t>
            </w:r>
          </w:p>
        </w:tc>
      </w:tr>
      <w:tr w:rsidR="00F45C63" w:rsidTr="00F45C63">
        <w:trPr>
          <w:trHeight w:val="709"/>
          <w:jc w:val="center"/>
        </w:trPr>
        <w:tc>
          <w:tcPr>
            <w:tcW w:w="8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1668" w:rsidRDefault="00BB1668">
            <w:pPr>
              <w:rPr>
                <w:rFonts w:ascii="宋体" w:hAnsi="宋体"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1668" w:rsidRDefault="00BB1668">
            <w:pPr>
              <w:rPr>
                <w:rFonts w:ascii="宋体" w:hAnsi="宋体" w:cs="宋体"/>
                <w:color w:val="000000"/>
                <w:sz w:val="18"/>
                <w:szCs w:val="18"/>
              </w:rPr>
            </w:pPr>
          </w:p>
        </w:tc>
        <w:tc>
          <w:tcPr>
            <w:tcW w:w="20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B1668" w:rsidRDefault="00757F8E">
            <w:pPr>
              <w:widowControl/>
              <w:jc w:val="left"/>
              <w:textAlignment w:val="center"/>
              <w:rPr>
                <w:rFonts w:ascii="宋体" w:hAnsi="宋体" w:cs="宋体"/>
                <w:color w:val="000000"/>
                <w:sz w:val="18"/>
                <w:szCs w:val="18"/>
              </w:rPr>
            </w:pPr>
            <w:r>
              <w:rPr>
                <w:rFonts w:ascii="宋体" w:hAnsi="宋体" w:cs="宋体"/>
                <w:color w:val="000000"/>
                <w:kern w:val="0"/>
                <w:sz w:val="18"/>
                <w:szCs w:val="18"/>
              </w:rPr>
              <w:t>改善办学条件。</w:t>
            </w:r>
          </w:p>
        </w:tc>
        <w:tc>
          <w:tcPr>
            <w:tcW w:w="482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B1668" w:rsidRDefault="00757F8E">
            <w:pPr>
              <w:widowControl/>
              <w:jc w:val="left"/>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rPr>
              <w:t>对照年度目标，说明相关任务目标的完成情况（100字以内）</w:t>
            </w:r>
          </w:p>
        </w:tc>
      </w:tr>
      <w:tr w:rsidR="00F45C63" w:rsidTr="00F45C63">
        <w:trPr>
          <w:trHeight w:val="694"/>
          <w:jc w:val="center"/>
        </w:trPr>
        <w:tc>
          <w:tcPr>
            <w:tcW w:w="8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1668" w:rsidRDefault="00BB1668">
            <w:pPr>
              <w:rPr>
                <w:rFonts w:ascii="宋体" w:hAnsi="宋体"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668" w:rsidRDefault="00757F8E">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686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BB1668" w:rsidRDefault="00BB1668" w:rsidP="00F45C63">
            <w:pPr>
              <w:jc w:val="left"/>
              <w:rPr>
                <w:rFonts w:ascii="宋体" w:hAnsi="宋体" w:cs="宋体"/>
                <w:color w:val="000000"/>
                <w:sz w:val="18"/>
                <w:szCs w:val="18"/>
              </w:rPr>
            </w:pPr>
          </w:p>
        </w:tc>
      </w:tr>
      <w:tr w:rsidR="00F45C63" w:rsidTr="00F45C63">
        <w:trPr>
          <w:trHeight w:val="360"/>
          <w:jc w:val="center"/>
        </w:trPr>
        <w:tc>
          <w:tcPr>
            <w:tcW w:w="8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1668" w:rsidRDefault="00757F8E">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668" w:rsidRDefault="00757F8E">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668" w:rsidRDefault="00757F8E">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668" w:rsidRDefault="00757F8E">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668" w:rsidRDefault="00757F8E">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668" w:rsidRDefault="00757F8E">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668" w:rsidRDefault="00757F8E">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15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B1668" w:rsidRDefault="00757F8E">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B1668" w:rsidRDefault="00757F8E">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rsidR="00F45C63" w:rsidTr="00F45C63">
        <w:trPr>
          <w:trHeight w:val="387"/>
          <w:jc w:val="center"/>
        </w:trPr>
        <w:tc>
          <w:tcPr>
            <w:tcW w:w="8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1668" w:rsidRDefault="00BB1668">
            <w:pPr>
              <w:jc w:val="center"/>
              <w:rPr>
                <w:rFonts w:ascii="宋体" w:hAnsi="宋体"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668" w:rsidRDefault="00757F8E">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668" w:rsidRDefault="00757F8E">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668" w:rsidRDefault="00757F8E">
            <w:pPr>
              <w:widowControl/>
              <w:jc w:val="center"/>
              <w:textAlignment w:val="center"/>
              <w:rPr>
                <w:rFonts w:ascii="宋体" w:hAnsi="宋体" w:cs="宋体"/>
                <w:color w:val="000000"/>
                <w:sz w:val="18"/>
                <w:szCs w:val="18"/>
              </w:rPr>
            </w:pPr>
            <w:r>
              <w:rPr>
                <w:rFonts w:ascii="宋体" w:hAnsi="宋体" w:cs="宋体"/>
                <w:color w:val="000000"/>
                <w:kern w:val="0"/>
                <w:sz w:val="18"/>
                <w:szCs w:val="18"/>
              </w:rPr>
              <w:t>150.04</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668" w:rsidRDefault="00757F8E">
            <w:pPr>
              <w:widowControl/>
              <w:jc w:val="center"/>
              <w:textAlignment w:val="center"/>
              <w:rPr>
                <w:rFonts w:ascii="宋体" w:hAnsi="宋体" w:cs="宋体"/>
                <w:color w:val="000000"/>
                <w:sz w:val="18"/>
                <w:szCs w:val="18"/>
              </w:rPr>
            </w:pPr>
            <w:r>
              <w:rPr>
                <w:rFonts w:ascii="宋体" w:hAnsi="宋体" w:cs="宋体"/>
                <w:color w:val="000000"/>
                <w:kern w:val="0"/>
                <w:sz w:val="18"/>
                <w:szCs w:val="18"/>
              </w:rPr>
              <w:t>66.04</w:t>
            </w:r>
          </w:p>
        </w:tc>
        <w:tc>
          <w:tcPr>
            <w:tcW w:w="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668" w:rsidRDefault="00757F8E">
            <w:pPr>
              <w:widowControl/>
              <w:jc w:val="center"/>
              <w:textAlignment w:val="center"/>
              <w:rPr>
                <w:rFonts w:ascii="宋体" w:hAnsi="宋体" w:cs="宋体"/>
                <w:color w:val="000000"/>
                <w:sz w:val="18"/>
                <w:szCs w:val="18"/>
              </w:rPr>
            </w:pPr>
            <w:r>
              <w:rPr>
                <w:rFonts w:ascii="宋体" w:hAnsi="宋体" w:cs="宋体"/>
                <w:color w:val="000000"/>
                <w:kern w:val="0"/>
                <w:sz w:val="18"/>
                <w:szCs w:val="18"/>
              </w:rPr>
              <w:t>44.02%</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668" w:rsidRDefault="00757F8E">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5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B1668" w:rsidRDefault="00BB1668">
            <w:pPr>
              <w:jc w:val="center"/>
              <w:rPr>
                <w:rFonts w:ascii="宋体" w:hAnsi="宋体" w:cs="宋体"/>
                <w:color w:val="000000"/>
                <w:sz w:val="18"/>
                <w:szCs w:val="18"/>
              </w:rPr>
            </w:pPr>
          </w:p>
        </w:tc>
        <w:tc>
          <w:tcPr>
            <w:tcW w:w="154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1668" w:rsidRDefault="00757F8E">
            <w:pPr>
              <w:widowControl/>
              <w:jc w:val="left"/>
              <w:textAlignment w:val="center"/>
              <w:rPr>
                <w:rFonts w:ascii="黑体" w:eastAsia="黑体" w:hAnsi="黑体" w:cs="黑体"/>
                <w:i/>
                <w:iCs/>
                <w:color w:val="000000"/>
                <w:sz w:val="18"/>
                <w:szCs w:val="18"/>
              </w:rPr>
            </w:pPr>
            <w:r>
              <w:rPr>
                <w:rFonts w:ascii="黑体" w:eastAsia="黑体" w:hAnsi="黑体" w:cs="黑体" w:hint="eastAsia"/>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rsidR="00F45C63" w:rsidTr="00F45C63">
        <w:trPr>
          <w:trHeight w:val="432"/>
          <w:jc w:val="center"/>
        </w:trPr>
        <w:tc>
          <w:tcPr>
            <w:tcW w:w="8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1668" w:rsidRDefault="00BB1668">
            <w:pPr>
              <w:jc w:val="center"/>
              <w:rPr>
                <w:rFonts w:ascii="宋体" w:hAnsi="宋体"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668" w:rsidRDefault="00757F8E">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668" w:rsidRDefault="00757F8E">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668" w:rsidRDefault="00757F8E">
            <w:pPr>
              <w:widowControl/>
              <w:jc w:val="center"/>
              <w:textAlignment w:val="center"/>
              <w:rPr>
                <w:rFonts w:ascii="宋体" w:hAnsi="宋体" w:cs="宋体"/>
                <w:color w:val="000000"/>
                <w:sz w:val="18"/>
                <w:szCs w:val="18"/>
              </w:rPr>
            </w:pPr>
            <w:r>
              <w:rPr>
                <w:rFonts w:ascii="宋体" w:hAnsi="宋体" w:cs="宋体"/>
                <w:color w:val="000000"/>
                <w:kern w:val="0"/>
                <w:sz w:val="18"/>
                <w:szCs w:val="18"/>
              </w:rPr>
              <w:t>150.04</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668" w:rsidRDefault="00757F8E">
            <w:pPr>
              <w:widowControl/>
              <w:jc w:val="center"/>
              <w:textAlignment w:val="center"/>
              <w:rPr>
                <w:rFonts w:ascii="宋体" w:hAnsi="宋体" w:cs="宋体"/>
                <w:color w:val="000000"/>
                <w:sz w:val="18"/>
                <w:szCs w:val="18"/>
              </w:rPr>
            </w:pPr>
            <w:r>
              <w:rPr>
                <w:rFonts w:ascii="宋体" w:hAnsi="宋体" w:cs="宋体"/>
                <w:color w:val="000000"/>
                <w:kern w:val="0"/>
                <w:sz w:val="18"/>
                <w:szCs w:val="18"/>
              </w:rPr>
              <w:t>66.04</w:t>
            </w:r>
          </w:p>
        </w:tc>
        <w:tc>
          <w:tcPr>
            <w:tcW w:w="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668" w:rsidRDefault="00757F8E">
            <w:pPr>
              <w:widowControl/>
              <w:jc w:val="center"/>
              <w:textAlignment w:val="center"/>
              <w:rPr>
                <w:rFonts w:ascii="宋体" w:hAnsi="宋体" w:cs="宋体"/>
                <w:color w:val="000000"/>
                <w:sz w:val="18"/>
                <w:szCs w:val="18"/>
              </w:rPr>
            </w:pPr>
            <w:r>
              <w:rPr>
                <w:rFonts w:ascii="宋体" w:hAnsi="宋体" w:cs="宋体"/>
                <w:color w:val="000000"/>
                <w:kern w:val="0"/>
                <w:sz w:val="18"/>
                <w:szCs w:val="18"/>
              </w:rPr>
              <w:t>44.02%</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668" w:rsidRDefault="00757F8E">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5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B1668" w:rsidRDefault="00757F8E">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54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B1668" w:rsidRDefault="00BB1668">
            <w:pPr>
              <w:rPr>
                <w:rFonts w:ascii="黑体" w:eastAsia="黑体" w:hAnsi="黑体" w:cs="黑体"/>
                <w:i/>
                <w:iCs/>
                <w:color w:val="000000"/>
                <w:sz w:val="18"/>
                <w:szCs w:val="18"/>
              </w:rPr>
            </w:pPr>
          </w:p>
        </w:tc>
      </w:tr>
      <w:tr w:rsidR="00F45C63" w:rsidTr="00F45C63">
        <w:trPr>
          <w:trHeight w:val="576"/>
          <w:jc w:val="center"/>
        </w:trPr>
        <w:tc>
          <w:tcPr>
            <w:tcW w:w="8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1668" w:rsidRDefault="00BB1668">
            <w:pPr>
              <w:jc w:val="center"/>
              <w:rPr>
                <w:rFonts w:ascii="宋体" w:hAnsi="宋体"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668" w:rsidRDefault="00757F8E">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668" w:rsidRDefault="00757F8E">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668" w:rsidRDefault="00757F8E">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668" w:rsidRDefault="00757F8E">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668" w:rsidRDefault="00757F8E">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668" w:rsidRDefault="00757F8E">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5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B1668" w:rsidRDefault="00757F8E">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54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B1668" w:rsidRDefault="00BB1668">
            <w:pPr>
              <w:rPr>
                <w:rFonts w:ascii="黑体" w:eastAsia="黑体" w:hAnsi="黑体" w:cs="黑体"/>
                <w:i/>
                <w:iCs/>
                <w:color w:val="000000"/>
                <w:sz w:val="18"/>
                <w:szCs w:val="18"/>
              </w:rPr>
            </w:pPr>
          </w:p>
        </w:tc>
      </w:tr>
      <w:tr w:rsidR="00F45C63" w:rsidTr="00F45C63">
        <w:trPr>
          <w:trHeight w:val="402"/>
          <w:jc w:val="center"/>
        </w:trPr>
        <w:tc>
          <w:tcPr>
            <w:tcW w:w="8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1668" w:rsidRDefault="00BB1668">
            <w:pPr>
              <w:jc w:val="center"/>
              <w:rPr>
                <w:rFonts w:ascii="宋体" w:hAnsi="宋体"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668" w:rsidRDefault="00757F8E">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668" w:rsidRDefault="00757F8E">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668" w:rsidRDefault="00757F8E">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668" w:rsidRDefault="00757F8E">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668" w:rsidRDefault="00757F8E">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668" w:rsidRDefault="00757F8E">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5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B1668" w:rsidRDefault="00757F8E">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54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B1668" w:rsidRDefault="00BB1668">
            <w:pPr>
              <w:rPr>
                <w:rFonts w:ascii="黑体" w:eastAsia="黑体" w:hAnsi="黑体" w:cs="黑体"/>
                <w:i/>
                <w:iCs/>
                <w:color w:val="000000"/>
                <w:sz w:val="18"/>
                <w:szCs w:val="18"/>
              </w:rPr>
            </w:pPr>
          </w:p>
        </w:tc>
      </w:tr>
      <w:tr w:rsidR="00F45C63" w:rsidTr="00F45C63">
        <w:trPr>
          <w:trHeight w:val="379"/>
          <w:jc w:val="center"/>
        </w:trPr>
        <w:tc>
          <w:tcPr>
            <w:tcW w:w="8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1668" w:rsidRDefault="00BB1668">
            <w:pPr>
              <w:jc w:val="center"/>
              <w:rPr>
                <w:rFonts w:ascii="宋体" w:hAnsi="宋体"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668" w:rsidRDefault="00757F8E">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668" w:rsidRDefault="00BB1668">
            <w:pPr>
              <w:jc w:val="center"/>
              <w:rPr>
                <w:rFonts w:ascii="微软雅黑" w:eastAsia="微软雅黑" w:hAnsi="微软雅黑" w:cs="微软雅黑"/>
                <w:i/>
                <w:iCs/>
                <w:color w:val="000000"/>
                <w:sz w:val="16"/>
                <w:szCs w:val="16"/>
              </w:rPr>
            </w:pP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668" w:rsidRDefault="00BB1668">
            <w:pPr>
              <w:jc w:val="center"/>
              <w:rPr>
                <w:rFonts w:ascii="微软雅黑" w:eastAsia="微软雅黑" w:hAnsi="微软雅黑" w:cs="微软雅黑"/>
                <w:i/>
                <w:iCs/>
                <w:color w:val="000000"/>
                <w:sz w:val="16"/>
                <w:szCs w:val="16"/>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668" w:rsidRDefault="00BB1668">
            <w:pPr>
              <w:jc w:val="center"/>
              <w:rPr>
                <w:rFonts w:ascii="微软雅黑" w:eastAsia="微软雅黑" w:hAnsi="微软雅黑" w:cs="微软雅黑"/>
                <w:i/>
                <w:iCs/>
                <w:color w:val="000000"/>
                <w:sz w:val="16"/>
                <w:szCs w:val="16"/>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668" w:rsidRDefault="00BB1668">
            <w:pPr>
              <w:jc w:val="center"/>
              <w:rPr>
                <w:rFonts w:ascii="微软雅黑" w:eastAsia="微软雅黑" w:hAnsi="微软雅黑" w:cs="微软雅黑"/>
                <w:i/>
                <w:iCs/>
                <w:color w:val="000000"/>
                <w:sz w:val="16"/>
                <w:szCs w:val="16"/>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668" w:rsidRDefault="00757F8E">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5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B1668" w:rsidRDefault="00757F8E">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54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B1668" w:rsidRDefault="00BB1668">
            <w:pPr>
              <w:rPr>
                <w:rFonts w:ascii="黑体" w:eastAsia="黑体" w:hAnsi="黑体" w:cs="黑体"/>
                <w:i/>
                <w:iCs/>
                <w:color w:val="000000"/>
                <w:sz w:val="18"/>
                <w:szCs w:val="18"/>
              </w:rPr>
            </w:pPr>
          </w:p>
        </w:tc>
      </w:tr>
      <w:tr w:rsidR="00F45C63" w:rsidTr="00F45C63">
        <w:trPr>
          <w:trHeight w:val="454"/>
          <w:jc w:val="center"/>
        </w:trPr>
        <w:tc>
          <w:tcPr>
            <w:tcW w:w="8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1668" w:rsidRDefault="00757F8E">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668" w:rsidRDefault="00757F8E">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668" w:rsidRDefault="00757F8E">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668" w:rsidRDefault="00757F8E">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668" w:rsidRDefault="00757F8E">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668" w:rsidRDefault="00757F8E">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668" w:rsidRDefault="00757F8E">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668" w:rsidRDefault="00757F8E">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668" w:rsidRDefault="00757F8E">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3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B1668" w:rsidRDefault="00757F8E">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668" w:rsidRDefault="00757F8E">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rsidR="00F45C63" w:rsidTr="00F45C63">
        <w:trPr>
          <w:trHeight w:val="338"/>
          <w:jc w:val="center"/>
        </w:trPr>
        <w:tc>
          <w:tcPr>
            <w:tcW w:w="8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1668" w:rsidRDefault="00BB1668">
            <w:pPr>
              <w:jc w:val="center"/>
              <w:rPr>
                <w:rFonts w:ascii="宋体" w:hAnsi="宋体"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668" w:rsidRDefault="00757F8E">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668" w:rsidRDefault="00757F8E">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668" w:rsidRDefault="00757F8E">
            <w:pPr>
              <w:widowControl/>
              <w:jc w:val="center"/>
              <w:textAlignment w:val="center"/>
              <w:rPr>
                <w:rFonts w:ascii="宋体" w:hAnsi="宋体" w:cs="宋体"/>
                <w:color w:val="000000"/>
                <w:sz w:val="18"/>
                <w:szCs w:val="18"/>
              </w:rPr>
            </w:pPr>
            <w:r>
              <w:rPr>
                <w:rFonts w:ascii="宋体" w:hAnsi="宋体" w:cs="宋体"/>
                <w:color w:val="000000"/>
                <w:kern w:val="0"/>
                <w:sz w:val="18"/>
                <w:szCs w:val="18"/>
              </w:rPr>
              <w:t>薄弱特教学校改造</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668" w:rsidRDefault="00757F8E">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668" w:rsidRDefault="00757F8E">
            <w:pPr>
              <w:widowControl/>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668" w:rsidRDefault="00757F8E">
            <w:pPr>
              <w:widowControl/>
              <w:jc w:val="center"/>
              <w:textAlignment w:val="center"/>
              <w:rPr>
                <w:rFonts w:ascii="宋体" w:hAnsi="宋体" w:cs="宋体"/>
                <w:color w:val="000000"/>
                <w:sz w:val="18"/>
                <w:szCs w:val="18"/>
              </w:rPr>
            </w:pPr>
            <w:r>
              <w:rPr>
                <w:rFonts w:ascii="宋体" w:hAnsi="宋体" w:cs="宋体"/>
                <w:color w:val="000000"/>
                <w:kern w:val="0"/>
                <w:sz w:val="18"/>
                <w:szCs w:val="18"/>
              </w:rPr>
              <w:t>个</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668" w:rsidRDefault="00BB1668">
            <w:pPr>
              <w:jc w:val="center"/>
              <w:rPr>
                <w:rFonts w:ascii="微软雅黑" w:eastAsia="微软雅黑" w:hAnsi="微软雅黑" w:cs="微软雅黑"/>
                <w:i/>
                <w:iCs/>
                <w:color w:val="000000"/>
                <w:sz w:val="16"/>
                <w:szCs w:val="16"/>
              </w:rPr>
            </w:pP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668" w:rsidRDefault="00757F8E">
            <w:pPr>
              <w:widowControl/>
              <w:jc w:val="center"/>
              <w:textAlignment w:val="center"/>
              <w:rPr>
                <w:rFonts w:ascii="宋体" w:hAnsi="宋体" w:cs="宋体"/>
                <w:color w:val="000000"/>
                <w:sz w:val="18"/>
                <w:szCs w:val="18"/>
              </w:rPr>
            </w:pPr>
            <w:r>
              <w:rPr>
                <w:rFonts w:ascii="宋体" w:hAnsi="宋体" w:cs="宋体"/>
                <w:color w:val="000000"/>
                <w:kern w:val="0"/>
                <w:sz w:val="18"/>
                <w:szCs w:val="18"/>
              </w:rPr>
              <w:t>60</w:t>
            </w:r>
          </w:p>
        </w:tc>
        <w:tc>
          <w:tcPr>
            <w:tcW w:w="3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B1668" w:rsidRDefault="00BB1668">
            <w:pPr>
              <w:jc w:val="center"/>
              <w:rPr>
                <w:rFonts w:ascii="宋体" w:hAnsi="宋体" w:cs="宋体"/>
                <w:color w:val="000000"/>
                <w:sz w:val="18"/>
                <w:szCs w:val="18"/>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668" w:rsidRDefault="00BB1668">
            <w:pPr>
              <w:jc w:val="center"/>
              <w:rPr>
                <w:rFonts w:ascii="微软雅黑" w:eastAsia="微软雅黑" w:hAnsi="微软雅黑" w:cs="微软雅黑"/>
                <w:i/>
                <w:iCs/>
                <w:color w:val="000000"/>
                <w:sz w:val="16"/>
                <w:szCs w:val="16"/>
              </w:rPr>
            </w:pPr>
          </w:p>
        </w:tc>
      </w:tr>
      <w:tr w:rsidR="00F45C63" w:rsidTr="00F45C63">
        <w:trPr>
          <w:trHeight w:val="338"/>
          <w:jc w:val="center"/>
        </w:trPr>
        <w:tc>
          <w:tcPr>
            <w:tcW w:w="8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1668" w:rsidRDefault="00BB1668">
            <w:pPr>
              <w:jc w:val="center"/>
              <w:rPr>
                <w:rFonts w:ascii="宋体" w:hAnsi="宋体"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668" w:rsidRDefault="00757F8E">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668" w:rsidRDefault="00757F8E">
            <w:pPr>
              <w:widowControl/>
              <w:jc w:val="center"/>
              <w:textAlignment w:val="center"/>
              <w:rPr>
                <w:rFonts w:ascii="宋体" w:hAnsi="宋体" w:cs="宋体"/>
                <w:color w:val="000000"/>
                <w:sz w:val="18"/>
                <w:szCs w:val="18"/>
              </w:rPr>
            </w:pPr>
            <w:r>
              <w:rPr>
                <w:rFonts w:ascii="宋体" w:hAnsi="宋体" w:cs="宋体"/>
                <w:color w:val="000000"/>
                <w:kern w:val="0"/>
                <w:sz w:val="18"/>
                <w:szCs w:val="18"/>
              </w:rPr>
              <w:t>社会效益指标</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668" w:rsidRDefault="00757F8E">
            <w:pPr>
              <w:widowControl/>
              <w:jc w:val="center"/>
              <w:textAlignment w:val="center"/>
              <w:rPr>
                <w:rFonts w:ascii="宋体" w:hAnsi="宋体" w:cs="宋体"/>
                <w:color w:val="000000"/>
                <w:sz w:val="18"/>
                <w:szCs w:val="18"/>
              </w:rPr>
            </w:pPr>
            <w:r>
              <w:rPr>
                <w:rFonts w:ascii="宋体" w:hAnsi="宋体" w:cs="宋体"/>
                <w:color w:val="000000"/>
                <w:kern w:val="0"/>
                <w:sz w:val="18"/>
                <w:szCs w:val="18"/>
              </w:rPr>
              <w:t>受益特教学校学生</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668" w:rsidRDefault="00757F8E">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668" w:rsidRDefault="00757F8E">
            <w:pPr>
              <w:widowControl/>
              <w:jc w:val="center"/>
              <w:textAlignment w:val="center"/>
              <w:rPr>
                <w:rFonts w:ascii="宋体" w:hAnsi="宋体" w:cs="宋体"/>
                <w:color w:val="000000"/>
                <w:sz w:val="18"/>
                <w:szCs w:val="18"/>
              </w:rPr>
            </w:pPr>
            <w:r>
              <w:rPr>
                <w:rFonts w:ascii="宋体" w:hAnsi="宋体" w:cs="宋体"/>
                <w:color w:val="000000"/>
                <w:kern w:val="0"/>
                <w:sz w:val="18"/>
                <w:szCs w:val="18"/>
              </w:rPr>
              <w:t>138</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668" w:rsidRDefault="00757F8E">
            <w:pPr>
              <w:widowControl/>
              <w:jc w:val="center"/>
              <w:textAlignment w:val="center"/>
              <w:rPr>
                <w:rFonts w:ascii="宋体" w:hAnsi="宋体" w:cs="宋体"/>
                <w:color w:val="000000"/>
                <w:sz w:val="18"/>
                <w:szCs w:val="18"/>
              </w:rPr>
            </w:pPr>
            <w:r>
              <w:rPr>
                <w:rFonts w:ascii="宋体" w:hAnsi="宋体" w:cs="宋体"/>
                <w:color w:val="000000"/>
                <w:kern w:val="0"/>
                <w:sz w:val="18"/>
                <w:szCs w:val="18"/>
              </w:rPr>
              <w:t>人</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668" w:rsidRDefault="00BB1668">
            <w:pPr>
              <w:jc w:val="center"/>
              <w:rPr>
                <w:rFonts w:ascii="微软雅黑" w:eastAsia="微软雅黑" w:hAnsi="微软雅黑" w:cs="微软雅黑"/>
                <w:i/>
                <w:iCs/>
                <w:color w:val="000000"/>
                <w:sz w:val="16"/>
                <w:szCs w:val="16"/>
              </w:rPr>
            </w:pP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668" w:rsidRDefault="00757F8E">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3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B1668" w:rsidRDefault="00BB1668">
            <w:pPr>
              <w:jc w:val="center"/>
              <w:rPr>
                <w:rFonts w:ascii="宋体" w:hAnsi="宋体" w:cs="宋体"/>
                <w:color w:val="000000"/>
                <w:sz w:val="18"/>
                <w:szCs w:val="18"/>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668" w:rsidRDefault="00BB1668">
            <w:pPr>
              <w:jc w:val="center"/>
              <w:rPr>
                <w:rFonts w:ascii="微软雅黑" w:eastAsia="微软雅黑" w:hAnsi="微软雅黑" w:cs="微软雅黑"/>
                <w:i/>
                <w:iCs/>
                <w:color w:val="000000"/>
                <w:sz w:val="16"/>
                <w:szCs w:val="16"/>
              </w:rPr>
            </w:pPr>
          </w:p>
        </w:tc>
      </w:tr>
      <w:tr w:rsidR="00F45C63" w:rsidTr="00F45C63">
        <w:trPr>
          <w:trHeight w:val="338"/>
          <w:jc w:val="center"/>
        </w:trPr>
        <w:tc>
          <w:tcPr>
            <w:tcW w:w="8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1668" w:rsidRDefault="00BB1668">
            <w:pPr>
              <w:jc w:val="center"/>
              <w:rPr>
                <w:rFonts w:ascii="宋体" w:hAnsi="宋体" w:cs="宋体"/>
                <w:color w:val="000000"/>
                <w:sz w:val="18"/>
                <w:szCs w:val="18"/>
              </w:rPr>
            </w:pP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1668" w:rsidRDefault="00757F8E">
            <w:pPr>
              <w:widowControl/>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6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1668" w:rsidRDefault="00757F8E">
            <w:pPr>
              <w:widowControl/>
              <w:jc w:val="center"/>
              <w:textAlignment w:val="center"/>
              <w:rPr>
                <w:rFonts w:ascii="宋体" w:hAnsi="宋体" w:cs="宋体"/>
                <w:color w:val="000000"/>
                <w:sz w:val="18"/>
                <w:szCs w:val="18"/>
              </w:rPr>
            </w:pPr>
            <w:r>
              <w:rPr>
                <w:rFonts w:ascii="宋体" w:hAnsi="宋体" w:cs="宋体"/>
                <w:color w:val="000000"/>
                <w:kern w:val="0"/>
                <w:sz w:val="18"/>
                <w:szCs w:val="18"/>
              </w:rPr>
              <w:t>服务对象满意度指标</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668" w:rsidRDefault="00757F8E">
            <w:pPr>
              <w:widowControl/>
              <w:jc w:val="center"/>
              <w:textAlignment w:val="center"/>
              <w:rPr>
                <w:rFonts w:ascii="宋体" w:hAnsi="宋体" w:cs="宋体"/>
                <w:color w:val="000000"/>
                <w:sz w:val="18"/>
                <w:szCs w:val="18"/>
              </w:rPr>
            </w:pPr>
            <w:r>
              <w:rPr>
                <w:rFonts w:ascii="宋体" w:hAnsi="宋体" w:cs="宋体"/>
                <w:color w:val="000000"/>
                <w:kern w:val="0"/>
                <w:sz w:val="18"/>
                <w:szCs w:val="18"/>
              </w:rPr>
              <w:t>残疾学生及家长满意度</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668" w:rsidRDefault="00757F8E">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668" w:rsidRDefault="00757F8E">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668" w:rsidRDefault="00757F8E">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668" w:rsidRDefault="00BB1668">
            <w:pPr>
              <w:jc w:val="center"/>
              <w:rPr>
                <w:rFonts w:ascii="微软雅黑" w:eastAsia="微软雅黑" w:hAnsi="微软雅黑" w:cs="微软雅黑"/>
                <w:i/>
                <w:iCs/>
                <w:color w:val="000000"/>
                <w:sz w:val="16"/>
                <w:szCs w:val="16"/>
              </w:rPr>
            </w:pP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668" w:rsidRDefault="00757F8E">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3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B1668" w:rsidRDefault="00BB1668">
            <w:pPr>
              <w:jc w:val="center"/>
              <w:rPr>
                <w:rFonts w:ascii="宋体" w:hAnsi="宋体" w:cs="宋体"/>
                <w:color w:val="000000"/>
                <w:sz w:val="18"/>
                <w:szCs w:val="18"/>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668" w:rsidRDefault="00BB1668">
            <w:pPr>
              <w:jc w:val="center"/>
              <w:rPr>
                <w:rFonts w:ascii="微软雅黑" w:eastAsia="微软雅黑" w:hAnsi="微软雅黑" w:cs="微软雅黑"/>
                <w:i/>
                <w:iCs/>
                <w:color w:val="000000"/>
                <w:sz w:val="16"/>
                <w:szCs w:val="16"/>
              </w:rPr>
            </w:pPr>
          </w:p>
        </w:tc>
      </w:tr>
      <w:tr w:rsidR="00F45C63" w:rsidTr="00F45C63">
        <w:trPr>
          <w:trHeight w:val="338"/>
          <w:jc w:val="center"/>
        </w:trPr>
        <w:tc>
          <w:tcPr>
            <w:tcW w:w="8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1668" w:rsidRDefault="00BB1668">
            <w:pPr>
              <w:jc w:val="center"/>
              <w:rPr>
                <w:rFonts w:ascii="宋体" w:hAnsi="宋体"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1668" w:rsidRDefault="00BB1668">
            <w:pPr>
              <w:jc w:val="center"/>
              <w:rPr>
                <w:rFonts w:ascii="宋体" w:hAnsi="宋体" w:cs="宋体"/>
                <w:color w:val="000000"/>
                <w:sz w:val="18"/>
                <w:szCs w:val="18"/>
              </w:rPr>
            </w:pPr>
          </w:p>
        </w:tc>
        <w:tc>
          <w:tcPr>
            <w:tcW w:w="6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1668" w:rsidRDefault="00BB1668">
            <w:pPr>
              <w:jc w:val="center"/>
              <w:rPr>
                <w:rFonts w:ascii="宋体" w:hAnsi="宋体" w:cs="宋体"/>
                <w:color w:val="000000"/>
                <w:sz w:val="18"/>
                <w:szCs w:val="18"/>
              </w:rPr>
            </w:pP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668" w:rsidRDefault="00757F8E">
            <w:pPr>
              <w:widowControl/>
              <w:jc w:val="center"/>
              <w:textAlignment w:val="center"/>
              <w:rPr>
                <w:rFonts w:ascii="宋体" w:hAnsi="宋体" w:cs="宋体"/>
                <w:color w:val="000000"/>
                <w:sz w:val="18"/>
                <w:szCs w:val="18"/>
              </w:rPr>
            </w:pPr>
            <w:r>
              <w:rPr>
                <w:rFonts w:ascii="宋体" w:hAnsi="宋体" w:cs="宋体"/>
                <w:color w:val="000000"/>
                <w:kern w:val="0"/>
                <w:sz w:val="18"/>
                <w:szCs w:val="18"/>
              </w:rPr>
              <w:t>特殊教育教师满意度</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668" w:rsidRDefault="00757F8E">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668" w:rsidRDefault="00757F8E">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668" w:rsidRDefault="00757F8E">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668" w:rsidRDefault="00BB1668">
            <w:pPr>
              <w:jc w:val="center"/>
              <w:rPr>
                <w:rFonts w:ascii="微软雅黑" w:eastAsia="微软雅黑" w:hAnsi="微软雅黑" w:cs="微软雅黑"/>
                <w:i/>
                <w:iCs/>
                <w:color w:val="000000"/>
                <w:sz w:val="16"/>
                <w:szCs w:val="16"/>
              </w:rPr>
            </w:pP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668" w:rsidRDefault="00757F8E">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3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B1668" w:rsidRDefault="00BB1668">
            <w:pPr>
              <w:jc w:val="center"/>
              <w:rPr>
                <w:rFonts w:ascii="宋体" w:hAnsi="宋体" w:cs="宋体"/>
                <w:color w:val="000000"/>
                <w:sz w:val="18"/>
                <w:szCs w:val="18"/>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668" w:rsidRDefault="00BB1668">
            <w:pPr>
              <w:jc w:val="center"/>
              <w:rPr>
                <w:rFonts w:ascii="微软雅黑" w:eastAsia="微软雅黑" w:hAnsi="微软雅黑" w:cs="微软雅黑"/>
                <w:i/>
                <w:iCs/>
                <w:color w:val="000000"/>
                <w:sz w:val="16"/>
                <w:szCs w:val="16"/>
              </w:rPr>
            </w:pPr>
          </w:p>
        </w:tc>
      </w:tr>
      <w:tr w:rsidR="00F45C63" w:rsidTr="00F45C63">
        <w:trPr>
          <w:trHeight w:val="285"/>
          <w:jc w:val="center"/>
        </w:trPr>
        <w:tc>
          <w:tcPr>
            <w:tcW w:w="486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B1668" w:rsidRDefault="00757F8E">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668" w:rsidRDefault="00757F8E">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15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B1668" w:rsidRDefault="00BB1668">
            <w:pPr>
              <w:rPr>
                <w:rFonts w:ascii="宋体" w:hAnsi="宋体" w:cs="宋体"/>
                <w:color w:val="000000"/>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B1668" w:rsidRDefault="00BB1668">
            <w:pPr>
              <w:rPr>
                <w:rFonts w:ascii="宋体" w:hAnsi="宋体" w:cs="宋体"/>
                <w:color w:val="000000"/>
                <w:sz w:val="18"/>
                <w:szCs w:val="18"/>
              </w:rPr>
            </w:pPr>
          </w:p>
        </w:tc>
      </w:tr>
      <w:tr w:rsidR="00BB1668" w:rsidTr="00F45C63">
        <w:trPr>
          <w:trHeight w:val="604"/>
          <w:jc w:val="center"/>
        </w:trPr>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668" w:rsidRDefault="00757F8E">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7994"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BB1668" w:rsidRDefault="00757F8E">
            <w:pPr>
              <w:widowControl/>
              <w:jc w:val="left"/>
              <w:textAlignment w:val="center"/>
              <w:rPr>
                <w:rFonts w:ascii="微软雅黑" w:eastAsia="微软雅黑" w:hAnsi="微软雅黑" w:cs="微软雅黑"/>
                <w:i/>
                <w:iCs/>
                <w:color w:val="000000"/>
                <w:sz w:val="16"/>
                <w:szCs w:val="16"/>
              </w:rPr>
            </w:pPr>
            <w:r>
              <w:rPr>
                <w:rFonts w:ascii="微软雅黑" w:eastAsia="微软雅黑" w:hAnsi="微软雅黑" w:cs="微软雅黑" w:hint="eastAsia"/>
                <w:i/>
                <w:iCs/>
                <w:color w:val="000000"/>
                <w:kern w:val="0"/>
                <w:sz w:val="16"/>
                <w:szCs w:val="16"/>
              </w:rPr>
              <w:t>结合自评情况，说明项目自评总分，说明项目实施取得的成效或成果。（200字以内）</w:t>
            </w:r>
          </w:p>
        </w:tc>
      </w:tr>
      <w:tr w:rsidR="00BB1668" w:rsidTr="00F45C63">
        <w:trPr>
          <w:trHeight w:val="574"/>
          <w:jc w:val="center"/>
        </w:trPr>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668" w:rsidRDefault="00757F8E">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7994"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BB1668" w:rsidRDefault="00757F8E">
            <w:pPr>
              <w:widowControl/>
              <w:jc w:val="left"/>
              <w:textAlignment w:val="center"/>
              <w:rPr>
                <w:rFonts w:ascii="微软雅黑" w:eastAsia="微软雅黑" w:hAnsi="微软雅黑" w:cs="微软雅黑"/>
                <w:i/>
                <w:iCs/>
                <w:color w:val="000000"/>
                <w:sz w:val="16"/>
                <w:szCs w:val="16"/>
              </w:rPr>
            </w:pPr>
            <w:r>
              <w:rPr>
                <w:rFonts w:ascii="微软雅黑" w:eastAsia="微软雅黑" w:hAnsi="微软雅黑" w:cs="微软雅黑" w:hint="eastAsia"/>
                <w:i/>
                <w:iCs/>
                <w:color w:val="000000"/>
                <w:kern w:val="0"/>
                <w:sz w:val="16"/>
                <w:szCs w:val="16"/>
              </w:rPr>
              <w:t>结合自评情况，分析存在的问题及原因。（200字以内）</w:t>
            </w:r>
          </w:p>
        </w:tc>
      </w:tr>
      <w:tr w:rsidR="00BB1668" w:rsidTr="00F45C63">
        <w:trPr>
          <w:trHeight w:val="634"/>
          <w:jc w:val="center"/>
        </w:trPr>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668" w:rsidRDefault="00757F8E">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7994"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BB1668" w:rsidRDefault="00757F8E">
            <w:pPr>
              <w:widowControl/>
              <w:jc w:val="left"/>
              <w:textAlignment w:val="center"/>
              <w:rPr>
                <w:rFonts w:ascii="微软雅黑" w:eastAsia="微软雅黑" w:hAnsi="微软雅黑" w:cs="微软雅黑"/>
                <w:i/>
                <w:iCs/>
                <w:color w:val="000000"/>
                <w:sz w:val="16"/>
                <w:szCs w:val="16"/>
              </w:rPr>
            </w:pPr>
            <w:r>
              <w:rPr>
                <w:rFonts w:ascii="微软雅黑" w:eastAsia="微软雅黑" w:hAnsi="微软雅黑" w:cs="微软雅黑" w:hint="eastAsia"/>
                <w:i/>
                <w:iCs/>
                <w:color w:val="000000"/>
                <w:kern w:val="0"/>
                <w:sz w:val="16"/>
                <w:szCs w:val="16"/>
              </w:rPr>
              <w:t>针对项目自评中发现的问题，提出下一步改进完善的意见及有关政策性建议。（200字以内）</w:t>
            </w:r>
          </w:p>
        </w:tc>
      </w:tr>
    </w:tbl>
    <w:p w:rsidR="00BB1668" w:rsidRDefault="00BB1668">
      <w:pPr>
        <w:spacing w:line="600" w:lineRule="exact"/>
        <w:jc w:val="center"/>
        <w:outlineLvl w:val="0"/>
        <w:rPr>
          <w:rFonts w:ascii="黑体" w:eastAsia="黑体" w:hAnsi="黑体"/>
          <w:sz w:val="44"/>
          <w:szCs w:val="44"/>
        </w:rPr>
      </w:pPr>
    </w:p>
    <w:p w:rsidR="00BB1668" w:rsidRDefault="00BB1668" w:rsidP="00BD6FD7">
      <w:pPr>
        <w:pStyle w:val="a0"/>
        <w:spacing w:before="93"/>
        <w:sectPr w:rsidR="00BB1668" w:rsidSect="00F45C63">
          <w:headerReference w:type="default" r:id="rId13"/>
          <w:footerReference w:type="default" r:id="rId14"/>
          <w:pgSz w:w="11906" w:h="16838" w:code="9"/>
          <w:pgMar w:top="1440" w:right="1797" w:bottom="1440" w:left="1797" w:header="851" w:footer="992" w:gutter="0"/>
          <w:pgNumType w:start="1"/>
          <w:cols w:space="425"/>
          <w:titlePg/>
          <w:docGrid w:type="lines" w:linePitch="312"/>
        </w:sectPr>
      </w:pPr>
    </w:p>
    <w:p w:rsidR="00BB1668" w:rsidRDefault="00757F8E">
      <w:pPr>
        <w:spacing w:line="600" w:lineRule="exact"/>
        <w:jc w:val="center"/>
        <w:outlineLvl w:val="0"/>
        <w:rPr>
          <w:rFonts w:ascii="仿宋" w:eastAsia="仿宋" w:hAnsi="仿宋"/>
        </w:rPr>
      </w:pPr>
      <w:r>
        <w:rPr>
          <w:rFonts w:ascii="黑体" w:eastAsia="黑体" w:hAnsi="黑体" w:hint="eastAsia"/>
          <w:sz w:val="44"/>
          <w:szCs w:val="44"/>
        </w:rPr>
        <w:lastRenderedPageBreak/>
        <w:t>第</w:t>
      </w:r>
      <w:r>
        <w:rPr>
          <w:rStyle w:val="1Char"/>
          <w:rFonts w:ascii="黑体" w:eastAsia="黑体" w:hAnsi="黑体" w:hint="eastAsia"/>
          <w:b w:val="0"/>
        </w:rPr>
        <w:t>五部分 附表</w:t>
      </w:r>
      <w:bookmarkStart w:id="55" w:name="_Toc15396619"/>
      <w:bookmarkEnd w:id="53"/>
      <w:bookmarkEnd w:id="54"/>
    </w:p>
    <w:p w:rsidR="00BB1668" w:rsidRDefault="00757F8E">
      <w:pPr>
        <w:pStyle w:val="2"/>
        <w:rPr>
          <w:rFonts w:ascii="仿宋" w:eastAsia="仿宋" w:hAnsi="仿宋"/>
        </w:rPr>
      </w:pPr>
      <w:r>
        <w:rPr>
          <w:rFonts w:ascii="仿宋" w:eastAsia="仿宋" w:hAnsi="仿宋" w:hint="eastAsia"/>
          <w:b w:val="0"/>
        </w:rPr>
        <w:t>一、收</w:t>
      </w:r>
      <w:r>
        <w:rPr>
          <w:rStyle w:val="2Char"/>
          <w:rFonts w:ascii="仿宋" w:eastAsia="仿宋" w:hAnsi="仿宋" w:hint="eastAsia"/>
        </w:rPr>
        <w:t>入支出决算总表</w:t>
      </w:r>
      <w:bookmarkEnd w:id="55"/>
    </w:p>
    <w:p w:rsidR="00BB1668" w:rsidRDefault="00757F8E">
      <w:pPr>
        <w:pStyle w:val="2"/>
        <w:rPr>
          <w:rFonts w:ascii="仿宋" w:eastAsia="仿宋" w:hAnsi="仿宋"/>
        </w:rPr>
      </w:pPr>
      <w:bookmarkStart w:id="56" w:name="_Toc15396620"/>
      <w:r>
        <w:rPr>
          <w:rFonts w:ascii="仿宋" w:eastAsia="仿宋" w:hAnsi="仿宋" w:hint="eastAsia"/>
          <w:b w:val="0"/>
        </w:rPr>
        <w:t>二、收</w:t>
      </w:r>
      <w:r>
        <w:rPr>
          <w:rStyle w:val="2Char"/>
          <w:rFonts w:ascii="仿宋" w:eastAsia="仿宋" w:hAnsi="仿宋" w:hint="eastAsia"/>
        </w:rPr>
        <w:t>入决算表</w:t>
      </w:r>
      <w:bookmarkEnd w:id="56"/>
    </w:p>
    <w:p w:rsidR="00BB1668" w:rsidRDefault="00757F8E">
      <w:pPr>
        <w:pStyle w:val="2"/>
        <w:rPr>
          <w:rFonts w:ascii="仿宋" w:eastAsia="仿宋" w:hAnsi="仿宋"/>
        </w:rPr>
      </w:pPr>
      <w:bookmarkStart w:id="57" w:name="_Toc15396621"/>
      <w:r>
        <w:rPr>
          <w:rStyle w:val="2Char"/>
          <w:rFonts w:ascii="仿宋" w:eastAsia="仿宋" w:hAnsi="仿宋" w:hint="eastAsia"/>
        </w:rPr>
        <w:t>三、</w:t>
      </w:r>
      <w:r>
        <w:rPr>
          <w:rFonts w:ascii="仿宋" w:eastAsia="仿宋" w:hAnsi="仿宋" w:hint="eastAsia"/>
          <w:b w:val="0"/>
        </w:rPr>
        <w:t>支</w:t>
      </w:r>
      <w:r>
        <w:rPr>
          <w:rStyle w:val="2Char"/>
          <w:rFonts w:ascii="仿宋" w:eastAsia="仿宋" w:hAnsi="仿宋" w:hint="eastAsia"/>
        </w:rPr>
        <w:t>出决算表</w:t>
      </w:r>
      <w:bookmarkEnd w:id="57"/>
    </w:p>
    <w:p w:rsidR="00BB1668" w:rsidRDefault="00757F8E">
      <w:pPr>
        <w:pStyle w:val="2"/>
        <w:rPr>
          <w:rFonts w:ascii="仿宋" w:eastAsia="仿宋" w:hAnsi="仿宋"/>
          <w:b w:val="0"/>
        </w:rPr>
      </w:pPr>
      <w:bookmarkStart w:id="58" w:name="_Toc15396622"/>
      <w:r>
        <w:rPr>
          <w:rStyle w:val="2Char"/>
          <w:rFonts w:ascii="仿宋" w:eastAsia="仿宋" w:hAnsi="仿宋" w:hint="eastAsia"/>
        </w:rPr>
        <w:t>四、</w:t>
      </w:r>
      <w:r>
        <w:rPr>
          <w:rFonts w:ascii="仿宋" w:eastAsia="仿宋" w:hAnsi="仿宋" w:hint="eastAsia"/>
          <w:b w:val="0"/>
        </w:rPr>
        <w:t>财</w:t>
      </w:r>
      <w:r>
        <w:rPr>
          <w:rStyle w:val="2Char"/>
          <w:rFonts w:ascii="仿宋" w:eastAsia="仿宋" w:hAnsi="仿宋" w:hint="eastAsia"/>
        </w:rPr>
        <w:t>政拨款收入支出决算总表</w:t>
      </w:r>
      <w:bookmarkEnd w:id="58"/>
    </w:p>
    <w:p w:rsidR="00BB1668" w:rsidRDefault="00757F8E">
      <w:pPr>
        <w:pStyle w:val="2"/>
        <w:rPr>
          <w:rStyle w:val="2Char"/>
          <w:rFonts w:ascii="仿宋" w:eastAsia="仿宋" w:hAnsi="仿宋"/>
        </w:rPr>
      </w:pPr>
      <w:bookmarkStart w:id="59" w:name="_Toc15396623"/>
      <w:r>
        <w:rPr>
          <w:rStyle w:val="2Char"/>
          <w:rFonts w:ascii="仿宋" w:eastAsia="仿宋" w:hAnsi="仿宋" w:hint="eastAsia"/>
        </w:rPr>
        <w:t>五、</w:t>
      </w:r>
      <w:r>
        <w:rPr>
          <w:rFonts w:ascii="仿宋" w:eastAsia="仿宋" w:hAnsi="仿宋" w:hint="eastAsia"/>
          <w:b w:val="0"/>
        </w:rPr>
        <w:t>财</w:t>
      </w:r>
      <w:r>
        <w:rPr>
          <w:rStyle w:val="2Char"/>
          <w:rFonts w:ascii="仿宋" w:eastAsia="仿宋" w:hAnsi="仿宋" w:hint="eastAsia"/>
        </w:rPr>
        <w:t>政拨款支出决算明细表</w:t>
      </w:r>
      <w:bookmarkStart w:id="60" w:name="_Toc15396624"/>
      <w:bookmarkEnd w:id="59"/>
    </w:p>
    <w:p w:rsidR="00BB1668" w:rsidRDefault="00757F8E">
      <w:pPr>
        <w:pStyle w:val="2"/>
        <w:rPr>
          <w:rFonts w:ascii="仿宋" w:eastAsia="仿宋" w:hAnsi="仿宋"/>
        </w:rPr>
      </w:pPr>
      <w:r>
        <w:rPr>
          <w:rStyle w:val="2Char"/>
          <w:rFonts w:ascii="仿宋" w:eastAsia="仿宋" w:hAnsi="仿宋" w:hint="eastAsia"/>
        </w:rPr>
        <w:t>六、</w:t>
      </w:r>
      <w:r>
        <w:rPr>
          <w:rFonts w:ascii="仿宋" w:eastAsia="仿宋" w:hAnsi="仿宋" w:hint="eastAsia"/>
          <w:b w:val="0"/>
        </w:rPr>
        <w:t>一</w:t>
      </w:r>
      <w:r>
        <w:rPr>
          <w:rStyle w:val="2Char"/>
          <w:rFonts w:ascii="仿宋" w:eastAsia="仿宋" w:hAnsi="仿宋" w:hint="eastAsia"/>
        </w:rPr>
        <w:t>般公共预算财政拨款支出决算表</w:t>
      </w:r>
      <w:bookmarkEnd w:id="60"/>
    </w:p>
    <w:p w:rsidR="00BB1668" w:rsidRDefault="00757F8E">
      <w:pPr>
        <w:pStyle w:val="2"/>
        <w:rPr>
          <w:rFonts w:ascii="仿宋" w:eastAsia="仿宋" w:hAnsi="仿宋"/>
        </w:rPr>
      </w:pPr>
      <w:bookmarkStart w:id="61" w:name="_Toc15396625"/>
      <w:r>
        <w:rPr>
          <w:rStyle w:val="2Char"/>
          <w:rFonts w:ascii="仿宋" w:eastAsia="仿宋" w:hAnsi="仿宋" w:hint="eastAsia"/>
        </w:rPr>
        <w:t>七、</w:t>
      </w:r>
      <w:r>
        <w:rPr>
          <w:rFonts w:ascii="仿宋" w:eastAsia="仿宋" w:hAnsi="仿宋" w:hint="eastAsia"/>
          <w:b w:val="0"/>
        </w:rPr>
        <w:t>一</w:t>
      </w:r>
      <w:r>
        <w:rPr>
          <w:rStyle w:val="2Char"/>
          <w:rFonts w:ascii="仿宋" w:eastAsia="仿宋" w:hAnsi="仿宋" w:hint="eastAsia"/>
        </w:rPr>
        <w:t>般公共预算财政拨款支出决算明细表</w:t>
      </w:r>
      <w:bookmarkEnd w:id="61"/>
    </w:p>
    <w:p w:rsidR="00BB1668" w:rsidRDefault="00757F8E">
      <w:pPr>
        <w:pStyle w:val="2"/>
        <w:rPr>
          <w:rFonts w:ascii="仿宋" w:eastAsia="仿宋" w:hAnsi="仿宋"/>
        </w:rPr>
      </w:pPr>
      <w:bookmarkStart w:id="62" w:name="_Toc15396626"/>
      <w:r>
        <w:rPr>
          <w:rStyle w:val="2Char"/>
          <w:rFonts w:ascii="仿宋" w:eastAsia="仿宋" w:hAnsi="仿宋" w:hint="eastAsia"/>
        </w:rPr>
        <w:t>八、</w:t>
      </w:r>
      <w:r>
        <w:rPr>
          <w:rFonts w:ascii="仿宋" w:eastAsia="仿宋" w:hAnsi="仿宋" w:hint="eastAsia"/>
          <w:b w:val="0"/>
        </w:rPr>
        <w:t>一</w:t>
      </w:r>
      <w:r>
        <w:rPr>
          <w:rStyle w:val="2Char"/>
          <w:rFonts w:ascii="仿宋" w:eastAsia="仿宋" w:hAnsi="仿宋" w:hint="eastAsia"/>
        </w:rPr>
        <w:t>般公共预算财政拨款基本支出决算表</w:t>
      </w:r>
      <w:bookmarkEnd w:id="62"/>
    </w:p>
    <w:p w:rsidR="00BB1668" w:rsidRDefault="00757F8E">
      <w:pPr>
        <w:pStyle w:val="2"/>
        <w:rPr>
          <w:rFonts w:ascii="仿宋" w:eastAsia="仿宋" w:hAnsi="仿宋"/>
        </w:rPr>
      </w:pPr>
      <w:bookmarkStart w:id="63" w:name="_Toc15396627"/>
      <w:r>
        <w:rPr>
          <w:rStyle w:val="2Char"/>
          <w:rFonts w:ascii="仿宋" w:eastAsia="仿宋" w:hAnsi="仿宋" w:hint="eastAsia"/>
        </w:rPr>
        <w:t>九、</w:t>
      </w:r>
      <w:r>
        <w:rPr>
          <w:rFonts w:ascii="仿宋" w:eastAsia="仿宋" w:hAnsi="仿宋" w:hint="eastAsia"/>
          <w:b w:val="0"/>
        </w:rPr>
        <w:t>一</w:t>
      </w:r>
      <w:r>
        <w:rPr>
          <w:rStyle w:val="2Char"/>
          <w:rFonts w:ascii="仿宋" w:eastAsia="仿宋" w:hAnsi="仿宋" w:hint="eastAsia"/>
        </w:rPr>
        <w:t>般公共预算财政拨款项目支出决算表</w:t>
      </w:r>
      <w:bookmarkEnd w:id="63"/>
    </w:p>
    <w:p w:rsidR="00BB1668" w:rsidRDefault="00757F8E">
      <w:pPr>
        <w:pStyle w:val="2"/>
        <w:rPr>
          <w:rFonts w:ascii="仿宋" w:eastAsia="仿宋" w:hAnsi="仿宋"/>
        </w:rPr>
      </w:pPr>
      <w:bookmarkStart w:id="64" w:name="_Toc15396628"/>
      <w:r>
        <w:rPr>
          <w:rStyle w:val="2Char"/>
          <w:rFonts w:ascii="仿宋" w:eastAsia="仿宋" w:hAnsi="仿宋" w:hint="eastAsia"/>
        </w:rPr>
        <w:t>十、</w:t>
      </w:r>
      <w:bookmarkEnd w:id="64"/>
      <w:r>
        <w:rPr>
          <w:rFonts w:ascii="仿宋" w:eastAsia="仿宋" w:hAnsi="仿宋" w:hint="eastAsia"/>
          <w:b w:val="0"/>
        </w:rPr>
        <w:t>政</w:t>
      </w:r>
      <w:r>
        <w:rPr>
          <w:rStyle w:val="2Char"/>
          <w:rFonts w:ascii="仿宋" w:eastAsia="仿宋" w:hAnsi="仿宋" w:hint="eastAsia"/>
        </w:rPr>
        <w:t>府性基金预算财政拨款收入支出决算表</w:t>
      </w:r>
    </w:p>
    <w:p w:rsidR="00BB1668" w:rsidRDefault="00757F8E">
      <w:pPr>
        <w:pStyle w:val="2"/>
        <w:rPr>
          <w:rFonts w:ascii="仿宋" w:eastAsia="仿宋" w:hAnsi="仿宋"/>
        </w:rPr>
      </w:pPr>
      <w:bookmarkStart w:id="65" w:name="_Toc15396629"/>
      <w:r>
        <w:rPr>
          <w:rStyle w:val="2Char"/>
          <w:rFonts w:ascii="仿宋" w:eastAsia="仿宋" w:hAnsi="仿宋" w:hint="eastAsia"/>
        </w:rPr>
        <w:t>十一、</w:t>
      </w:r>
      <w:bookmarkEnd w:id="65"/>
      <w:r>
        <w:rPr>
          <w:rFonts w:ascii="仿宋" w:eastAsia="仿宋" w:hAnsi="仿宋" w:hint="eastAsia"/>
          <w:b w:val="0"/>
        </w:rPr>
        <w:t>国</w:t>
      </w:r>
      <w:r>
        <w:rPr>
          <w:rStyle w:val="2Char"/>
          <w:rFonts w:ascii="仿宋" w:eastAsia="仿宋" w:hAnsi="仿宋" w:hint="eastAsia"/>
        </w:rPr>
        <w:t>有资本经营预算财政拨款收入支出决算表</w:t>
      </w:r>
    </w:p>
    <w:p w:rsidR="00BB1668" w:rsidRDefault="00757F8E">
      <w:pPr>
        <w:pStyle w:val="2"/>
        <w:rPr>
          <w:rFonts w:ascii="仿宋" w:eastAsia="仿宋" w:hAnsi="仿宋"/>
        </w:rPr>
      </w:pPr>
      <w:bookmarkStart w:id="66" w:name="_Toc15396630"/>
      <w:r>
        <w:rPr>
          <w:rStyle w:val="2Char"/>
          <w:rFonts w:ascii="仿宋" w:eastAsia="仿宋" w:hAnsi="仿宋" w:hint="eastAsia"/>
        </w:rPr>
        <w:t>十二、</w:t>
      </w:r>
      <w:bookmarkEnd w:id="66"/>
      <w:r>
        <w:rPr>
          <w:rStyle w:val="2Char"/>
          <w:rFonts w:ascii="仿宋" w:eastAsia="仿宋" w:hAnsi="仿宋" w:hint="eastAsia"/>
        </w:rPr>
        <w:t>国有资本经营预算财政拨款支出决算表</w:t>
      </w:r>
    </w:p>
    <w:p w:rsidR="00BB1668" w:rsidRDefault="00757F8E">
      <w:pPr>
        <w:pStyle w:val="2"/>
        <w:rPr>
          <w:rFonts w:eastAsia="仿宋"/>
        </w:rPr>
      </w:pPr>
      <w:bookmarkStart w:id="67" w:name="_Toc15396631"/>
      <w:r>
        <w:rPr>
          <w:rStyle w:val="2Char"/>
          <w:rFonts w:ascii="仿宋" w:eastAsia="仿宋" w:hAnsi="仿宋" w:hint="eastAsia"/>
        </w:rPr>
        <w:t>十三、</w:t>
      </w:r>
      <w:bookmarkEnd w:id="67"/>
      <w:r>
        <w:rPr>
          <w:rStyle w:val="2Char"/>
          <w:rFonts w:ascii="仿宋" w:eastAsia="仿宋" w:hAnsi="仿宋" w:hint="eastAsia"/>
        </w:rPr>
        <w:t>财政拨款“三公”经费支出决算表</w:t>
      </w:r>
    </w:p>
    <w:sectPr w:rsidR="00BB1668" w:rsidSect="00BB1668">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2723" w:rsidRDefault="00312723" w:rsidP="00BB1668">
      <w:r>
        <w:separator/>
      </w:r>
    </w:p>
  </w:endnote>
  <w:endnote w:type="continuationSeparator" w:id="1">
    <w:p w:rsidR="00312723" w:rsidRDefault="00312723" w:rsidP="00BB16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BB1668" w:rsidRDefault="004875B5">
        <w:pPr>
          <w:pStyle w:val="a5"/>
          <w:jc w:val="center"/>
        </w:pPr>
        <w:r>
          <w:fldChar w:fldCharType="begin"/>
        </w:r>
        <w:r w:rsidR="00757F8E">
          <w:instrText>PAGE   \* MERGEFORMAT</w:instrText>
        </w:r>
        <w:r>
          <w:fldChar w:fldCharType="separate"/>
        </w:r>
        <w:r w:rsidR="00E12603" w:rsidRPr="00E12603">
          <w:rPr>
            <w:noProof/>
            <w:lang w:val="zh-CN"/>
          </w:rPr>
          <w:t>18</w:t>
        </w:r>
        <w:r>
          <w:fldChar w:fldCharType="end"/>
        </w:r>
      </w:p>
    </w:sdtContent>
  </w:sdt>
  <w:p w:rsidR="00BB1668" w:rsidRDefault="00BB166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2723" w:rsidRDefault="00312723" w:rsidP="00BB1668">
      <w:r>
        <w:separator/>
      </w:r>
    </w:p>
  </w:footnote>
  <w:footnote w:type="continuationSeparator" w:id="1">
    <w:p w:rsidR="00312723" w:rsidRDefault="00312723" w:rsidP="00BB16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668" w:rsidRDefault="00BB1668">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E2FA047D"/>
    <w:multiLevelType w:val="singleLevel"/>
    <w:tmpl w:val="E2FA047D"/>
    <w:lvl w:ilvl="0">
      <w:start w:val="3"/>
      <w:numFmt w:val="chineseCounting"/>
      <w:suff w:val="space"/>
      <w:lvlText w:val="第%1部分"/>
      <w:lvlJc w:val="left"/>
      <w:rPr>
        <w:rFonts w:ascii="黑体" w:eastAsia="黑体" w:hAnsi="黑体" w:cs="黑体" w:hint="eastAsia"/>
        <w:sz w:val="44"/>
        <w:szCs w:val="44"/>
      </w:rPr>
    </w:lvl>
  </w:abstractNum>
  <w:abstractNum w:abstractNumId="2">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3818A09A"/>
    <w:multiLevelType w:val="singleLevel"/>
    <w:tmpl w:val="3818A09A"/>
    <w:lvl w:ilvl="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TAxMTVlN2UwNWZkZWQ3ODU4MGUzZDAzZmViZmRmNjQifQ=="/>
  </w:docVars>
  <w:rsids>
    <w:rsidRoot w:val="00F1361C"/>
    <w:rsid w:val="9E3A10E2"/>
    <w:rsid w:val="F2E1F9D4"/>
    <w:rsid w:val="F7880819"/>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12723"/>
    <w:rsid w:val="003216A9"/>
    <w:rsid w:val="00335A74"/>
    <w:rsid w:val="0036561B"/>
    <w:rsid w:val="0037013F"/>
    <w:rsid w:val="00380C92"/>
    <w:rsid w:val="003978ED"/>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5B5"/>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57F8E"/>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1668"/>
    <w:rsid w:val="00BB4DF0"/>
    <w:rsid w:val="00BC289F"/>
    <w:rsid w:val="00BC2D50"/>
    <w:rsid w:val="00BC5361"/>
    <w:rsid w:val="00BC5460"/>
    <w:rsid w:val="00BC6B50"/>
    <w:rsid w:val="00BD0E25"/>
    <w:rsid w:val="00BD6FD7"/>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12603"/>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45C63"/>
    <w:rsid w:val="00F602DF"/>
    <w:rsid w:val="00F754A1"/>
    <w:rsid w:val="00F81FD9"/>
    <w:rsid w:val="00F841AA"/>
    <w:rsid w:val="00F84A94"/>
    <w:rsid w:val="00F87E96"/>
    <w:rsid w:val="00FA23E8"/>
    <w:rsid w:val="00FD3CC1"/>
    <w:rsid w:val="00FF1E02"/>
    <w:rsid w:val="00FF30B4"/>
    <w:rsid w:val="053A62B5"/>
    <w:rsid w:val="0928163D"/>
    <w:rsid w:val="0A2032A3"/>
    <w:rsid w:val="0AB539B9"/>
    <w:rsid w:val="0B8A37D8"/>
    <w:rsid w:val="0FA1275E"/>
    <w:rsid w:val="10C055FF"/>
    <w:rsid w:val="118107EC"/>
    <w:rsid w:val="11DD6519"/>
    <w:rsid w:val="16BB723D"/>
    <w:rsid w:val="18015F3F"/>
    <w:rsid w:val="1BC021BE"/>
    <w:rsid w:val="1BE8440E"/>
    <w:rsid w:val="1D155CEE"/>
    <w:rsid w:val="20F57F95"/>
    <w:rsid w:val="240371BF"/>
    <w:rsid w:val="24516F2B"/>
    <w:rsid w:val="25711CC6"/>
    <w:rsid w:val="25C741E6"/>
    <w:rsid w:val="27842671"/>
    <w:rsid w:val="29FD04D3"/>
    <w:rsid w:val="2A1D3A06"/>
    <w:rsid w:val="2ABE7A3E"/>
    <w:rsid w:val="2AC00403"/>
    <w:rsid w:val="2CA234A8"/>
    <w:rsid w:val="2DD9710F"/>
    <w:rsid w:val="2EE30245"/>
    <w:rsid w:val="2EFA178C"/>
    <w:rsid w:val="30B46D73"/>
    <w:rsid w:val="319F7F4E"/>
    <w:rsid w:val="325C4AAA"/>
    <w:rsid w:val="383D272C"/>
    <w:rsid w:val="39AE70AB"/>
    <w:rsid w:val="3C0C0783"/>
    <w:rsid w:val="3DF21A67"/>
    <w:rsid w:val="3E4263FD"/>
    <w:rsid w:val="3F9F3A96"/>
    <w:rsid w:val="404404E1"/>
    <w:rsid w:val="43F81C45"/>
    <w:rsid w:val="48BF60AB"/>
    <w:rsid w:val="493C27E9"/>
    <w:rsid w:val="496F39ED"/>
    <w:rsid w:val="49FF41D3"/>
    <w:rsid w:val="4BE068DB"/>
    <w:rsid w:val="4BF6002B"/>
    <w:rsid w:val="4DC2391A"/>
    <w:rsid w:val="4ECE2238"/>
    <w:rsid w:val="51DB4B86"/>
    <w:rsid w:val="540E5781"/>
    <w:rsid w:val="55333C3E"/>
    <w:rsid w:val="55482300"/>
    <w:rsid w:val="5789326E"/>
    <w:rsid w:val="5A8B33BB"/>
    <w:rsid w:val="5DFB2FFF"/>
    <w:rsid w:val="64BE5E78"/>
    <w:rsid w:val="64CA39A1"/>
    <w:rsid w:val="67423B58"/>
    <w:rsid w:val="67C24BCB"/>
    <w:rsid w:val="69630ADE"/>
    <w:rsid w:val="6AF02DC7"/>
    <w:rsid w:val="6C4A05C8"/>
    <w:rsid w:val="6D3B1A89"/>
    <w:rsid w:val="6EB04D47"/>
    <w:rsid w:val="708B5A6B"/>
    <w:rsid w:val="71BF4EC2"/>
    <w:rsid w:val="72734D90"/>
    <w:rsid w:val="7412278C"/>
    <w:rsid w:val="79E7B28D"/>
    <w:rsid w:val="7A5F0504"/>
    <w:rsid w:val="7F9F20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B1668"/>
    <w:pPr>
      <w:widowControl w:val="0"/>
      <w:jc w:val="both"/>
    </w:pPr>
    <w:rPr>
      <w:kern w:val="2"/>
      <w:sz w:val="21"/>
      <w:szCs w:val="24"/>
    </w:rPr>
  </w:style>
  <w:style w:type="paragraph" w:styleId="1">
    <w:name w:val="heading 1"/>
    <w:basedOn w:val="a"/>
    <w:next w:val="a"/>
    <w:link w:val="1Char"/>
    <w:uiPriority w:val="9"/>
    <w:qFormat/>
    <w:rsid w:val="00BB1668"/>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BB166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BB1668"/>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BB1668"/>
    <w:pPr>
      <w:spacing w:beforeLines="30"/>
    </w:pPr>
    <w:rPr>
      <w:rFonts w:ascii="仿宋_GB2312" w:eastAsia="仿宋_GB2312"/>
      <w:kern w:val="0"/>
      <w:sz w:val="30"/>
    </w:rPr>
  </w:style>
  <w:style w:type="paragraph" w:styleId="30">
    <w:name w:val="toc 3"/>
    <w:basedOn w:val="a"/>
    <w:next w:val="a"/>
    <w:uiPriority w:val="39"/>
    <w:unhideWhenUsed/>
    <w:qFormat/>
    <w:rsid w:val="00BB1668"/>
    <w:pPr>
      <w:tabs>
        <w:tab w:val="right" w:leader="dot" w:pos="8296"/>
      </w:tabs>
      <w:ind w:leftChars="400" w:left="840"/>
    </w:pPr>
  </w:style>
  <w:style w:type="paragraph" w:styleId="a4">
    <w:name w:val="Balloon Text"/>
    <w:basedOn w:val="a"/>
    <w:link w:val="Char0"/>
    <w:uiPriority w:val="99"/>
    <w:semiHidden/>
    <w:unhideWhenUsed/>
    <w:qFormat/>
    <w:rsid w:val="00BB1668"/>
    <w:rPr>
      <w:sz w:val="18"/>
      <w:szCs w:val="18"/>
    </w:rPr>
  </w:style>
  <w:style w:type="paragraph" w:styleId="a5">
    <w:name w:val="footer"/>
    <w:basedOn w:val="a"/>
    <w:link w:val="Char1"/>
    <w:uiPriority w:val="99"/>
    <w:qFormat/>
    <w:rsid w:val="00BB1668"/>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rsid w:val="00BB1668"/>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BB1668"/>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BB1668"/>
    <w:pPr>
      <w:tabs>
        <w:tab w:val="right" w:leader="dot" w:pos="8296"/>
      </w:tabs>
      <w:ind w:leftChars="200" w:left="420"/>
    </w:pPr>
  </w:style>
  <w:style w:type="character" w:styleId="a7">
    <w:name w:val="Strong"/>
    <w:basedOn w:val="a1"/>
    <w:uiPriority w:val="99"/>
    <w:qFormat/>
    <w:rsid w:val="00BB1668"/>
    <w:rPr>
      <w:b/>
    </w:rPr>
  </w:style>
  <w:style w:type="character" w:styleId="a8">
    <w:name w:val="Hyperlink"/>
    <w:basedOn w:val="a1"/>
    <w:uiPriority w:val="99"/>
    <w:unhideWhenUsed/>
    <w:qFormat/>
    <w:rsid w:val="00BB1668"/>
    <w:rPr>
      <w:color w:val="0000FF" w:themeColor="hyperlink"/>
      <w:u w:val="single"/>
    </w:rPr>
  </w:style>
  <w:style w:type="character" w:customStyle="1" w:styleId="HeaderChar">
    <w:name w:val="Header Char"/>
    <w:basedOn w:val="a1"/>
    <w:uiPriority w:val="99"/>
    <w:semiHidden/>
    <w:qFormat/>
    <w:rsid w:val="00BB1668"/>
    <w:rPr>
      <w:rFonts w:ascii="Times New Roman" w:hAnsi="Times New Roman"/>
      <w:sz w:val="18"/>
      <w:szCs w:val="18"/>
    </w:rPr>
  </w:style>
  <w:style w:type="character" w:customStyle="1" w:styleId="Char2">
    <w:name w:val="页眉 Char"/>
    <w:link w:val="a6"/>
    <w:uiPriority w:val="99"/>
    <w:semiHidden/>
    <w:qFormat/>
    <w:locked/>
    <w:rsid w:val="00BB1668"/>
    <w:rPr>
      <w:sz w:val="18"/>
    </w:rPr>
  </w:style>
  <w:style w:type="character" w:customStyle="1" w:styleId="FooterChar">
    <w:name w:val="Footer Char"/>
    <w:basedOn w:val="a1"/>
    <w:uiPriority w:val="99"/>
    <w:semiHidden/>
    <w:qFormat/>
    <w:rsid w:val="00BB1668"/>
    <w:rPr>
      <w:rFonts w:ascii="Times New Roman" w:hAnsi="Times New Roman"/>
      <w:sz w:val="18"/>
      <w:szCs w:val="18"/>
    </w:rPr>
  </w:style>
  <w:style w:type="character" w:customStyle="1" w:styleId="Char1">
    <w:name w:val="页脚 Char"/>
    <w:link w:val="a5"/>
    <w:uiPriority w:val="99"/>
    <w:qFormat/>
    <w:locked/>
    <w:rsid w:val="00BB1668"/>
    <w:rPr>
      <w:sz w:val="18"/>
    </w:rPr>
  </w:style>
  <w:style w:type="character" w:customStyle="1" w:styleId="BodyTextChar">
    <w:name w:val="Body Text Char"/>
    <w:basedOn w:val="a1"/>
    <w:uiPriority w:val="99"/>
    <w:semiHidden/>
    <w:qFormat/>
    <w:rsid w:val="00BB1668"/>
    <w:rPr>
      <w:rFonts w:ascii="Times New Roman" w:hAnsi="Times New Roman"/>
      <w:szCs w:val="24"/>
    </w:rPr>
  </w:style>
  <w:style w:type="character" w:customStyle="1" w:styleId="Char">
    <w:name w:val="正文文本 Char"/>
    <w:link w:val="a0"/>
    <w:uiPriority w:val="99"/>
    <w:qFormat/>
    <w:locked/>
    <w:rsid w:val="00BB1668"/>
    <w:rPr>
      <w:rFonts w:ascii="仿宋_GB2312" w:eastAsia="仿宋_GB2312" w:hAnsi="Times New Roman"/>
      <w:sz w:val="24"/>
    </w:rPr>
  </w:style>
  <w:style w:type="paragraph" w:customStyle="1" w:styleId="Default">
    <w:name w:val="Default"/>
    <w:uiPriority w:val="99"/>
    <w:qFormat/>
    <w:rsid w:val="00BB1668"/>
    <w:pPr>
      <w:widowControl w:val="0"/>
      <w:autoSpaceDE w:val="0"/>
      <w:autoSpaceDN w:val="0"/>
      <w:adjustRightInd w:val="0"/>
    </w:pPr>
    <w:rPr>
      <w:rFonts w:ascii="仿宋" w:eastAsia="仿宋" w:hAnsi="Calibri" w:cs="仿宋"/>
      <w:color w:val="000000"/>
      <w:sz w:val="24"/>
      <w:szCs w:val="24"/>
    </w:rPr>
  </w:style>
  <w:style w:type="paragraph" w:styleId="a9">
    <w:name w:val="List Paragraph"/>
    <w:basedOn w:val="a"/>
    <w:uiPriority w:val="34"/>
    <w:qFormat/>
    <w:rsid w:val="00BB1668"/>
    <w:pPr>
      <w:ind w:firstLineChars="200" w:firstLine="420"/>
    </w:pPr>
  </w:style>
  <w:style w:type="character" w:customStyle="1" w:styleId="1Char">
    <w:name w:val="标题 1 Char"/>
    <w:basedOn w:val="a1"/>
    <w:link w:val="1"/>
    <w:uiPriority w:val="9"/>
    <w:qFormat/>
    <w:rsid w:val="00BB1668"/>
    <w:rPr>
      <w:rFonts w:ascii="Times New Roman" w:hAnsi="Times New Roman"/>
      <w:b/>
      <w:bCs/>
      <w:kern w:val="44"/>
      <w:sz w:val="44"/>
      <w:szCs w:val="44"/>
    </w:rPr>
  </w:style>
  <w:style w:type="character" w:customStyle="1" w:styleId="2Char">
    <w:name w:val="标题 2 Char"/>
    <w:basedOn w:val="a1"/>
    <w:link w:val="2"/>
    <w:uiPriority w:val="9"/>
    <w:qFormat/>
    <w:rsid w:val="00BB1668"/>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BB1668"/>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1"/>
    <w:link w:val="a4"/>
    <w:uiPriority w:val="99"/>
    <w:semiHidden/>
    <w:qFormat/>
    <w:rsid w:val="00BB1668"/>
    <w:rPr>
      <w:rFonts w:ascii="Times New Roman" w:hAnsi="Times New Roman"/>
      <w:kern w:val="2"/>
      <w:sz w:val="18"/>
      <w:szCs w:val="18"/>
    </w:rPr>
  </w:style>
  <w:style w:type="character" w:customStyle="1" w:styleId="3Char">
    <w:name w:val="标题 3 Char"/>
    <w:basedOn w:val="a1"/>
    <w:link w:val="3"/>
    <w:uiPriority w:val="9"/>
    <w:qFormat/>
    <w:rsid w:val="00BB1668"/>
    <w:rPr>
      <w:rFonts w:ascii="Times New Roman" w:hAnsi="Times New Roman"/>
      <w:b/>
      <w:bCs/>
      <w:kern w:val="2"/>
      <w:sz w:val="32"/>
      <w:szCs w:val="32"/>
    </w:rPr>
  </w:style>
  <w:style w:type="paragraph" w:customStyle="1" w:styleId="TOC2">
    <w:name w:val="TOC 标题2"/>
    <w:basedOn w:val="1"/>
    <w:next w:val="a"/>
    <w:uiPriority w:val="39"/>
    <w:unhideWhenUsed/>
    <w:qFormat/>
    <w:rsid w:val="00BB1668"/>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__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rPr lang="en-US" altLang="zh-CN"/>
              <a:t>2022</a:t>
            </a:r>
            <a:r>
              <a:rPr altLang="en-US"/>
              <a:t>年收入支出决算总计变动情况图</a:t>
            </a:r>
          </a:p>
        </c:rich>
      </c:tx>
      <c:spPr>
        <a:noFill/>
        <a:ln>
          <a:noFill/>
        </a:ln>
        <a:effectLst/>
      </c:spPr>
    </c:title>
    <c:plotArea>
      <c:layout/>
      <c:barChart>
        <c:barDir val="col"/>
        <c:grouping val="clustered"/>
        <c:ser>
          <c:idx val="0"/>
          <c:order val="0"/>
          <c:tx>
            <c:strRef>
              <c:f>Sheet1!$B$1</c:f>
              <c:strCache>
                <c:ptCount val="1"/>
                <c:pt idx="0">
                  <c:v>2021年总收支</c:v>
                </c:pt>
              </c:strCache>
            </c:strRef>
          </c:tx>
          <c:spPr>
            <a:solidFill>
              <a:schemeClr val="accent1"/>
            </a:solidFill>
            <a:ln>
              <a:noFill/>
            </a:ln>
            <a:effectLst/>
          </c:spPr>
          <c:cat>
            <c:strRef>
              <c:f>Sheet1!$A$2:$A$3</c:f>
              <c:strCache>
                <c:ptCount val="2"/>
                <c:pt idx="0">
                  <c:v>2021年总收支</c:v>
                </c:pt>
                <c:pt idx="1">
                  <c:v>2022年总收支</c:v>
                </c:pt>
              </c:strCache>
            </c:strRef>
          </c:cat>
          <c:val>
            <c:numRef>
              <c:f>Sheet1!$B$2:$B$3</c:f>
              <c:numCache>
                <c:formatCode>General</c:formatCode>
                <c:ptCount val="2"/>
                <c:pt idx="0">
                  <c:v>749.01</c:v>
                </c:pt>
                <c:pt idx="1">
                  <c:v>680.2</c:v>
                </c:pt>
              </c:numCache>
            </c:numRef>
          </c:val>
        </c:ser>
        <c:ser>
          <c:idx val="1"/>
          <c:order val="1"/>
          <c:tx>
            <c:strRef>
              <c:f>Sheet1!$C$1</c:f>
              <c:strCache>
                <c:ptCount val="1"/>
                <c:pt idx="0">
                  <c:v>2022年总收支</c:v>
                </c:pt>
              </c:strCache>
            </c:strRef>
          </c:tx>
          <c:spPr>
            <a:solidFill>
              <a:schemeClr val="accent2"/>
            </a:solidFill>
            <a:ln>
              <a:noFill/>
            </a:ln>
            <a:effectLst/>
          </c:spPr>
          <c:cat>
            <c:strRef>
              <c:f>Sheet1!$A$2:$A$3</c:f>
              <c:strCache>
                <c:ptCount val="2"/>
                <c:pt idx="0">
                  <c:v>2021年总收支</c:v>
                </c:pt>
                <c:pt idx="1">
                  <c:v>2022年总收支</c:v>
                </c:pt>
              </c:strCache>
            </c:strRef>
          </c:cat>
          <c:val>
            <c:numRef>
              <c:f>Sheet1!$C$2:$C$3</c:f>
              <c:numCache>
                <c:formatCode>General</c:formatCode>
                <c:ptCount val="2"/>
                <c:pt idx="0">
                  <c:v>2.4</c:v>
                </c:pt>
                <c:pt idx="1">
                  <c:v>4.4000000000000004</c:v>
                </c:pt>
              </c:numCache>
            </c:numRef>
          </c:val>
        </c:ser>
        <c:gapWidth val="246"/>
        <c:overlap val="-28"/>
        <c:axId val="143841536"/>
        <c:axId val="192370560"/>
      </c:barChart>
      <c:catAx>
        <c:axId val="143841536"/>
        <c:scaling>
          <c:orientation val="minMax"/>
        </c:scaling>
        <c:axPos val="b"/>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92370560"/>
        <c:crosses val="autoZero"/>
        <c:auto val="1"/>
        <c:lblAlgn val="ctr"/>
        <c:lblOffset val="100"/>
      </c:catAx>
      <c:valAx>
        <c:axId val="192370560"/>
        <c:scaling>
          <c:orientation val="minMax"/>
        </c:scaling>
        <c:axPos val="l"/>
        <c:majorGridlines>
          <c:spPr>
            <a:ln w="9525" cap="flat" cmpd="sng" algn="ctr">
              <a:solidFill>
                <a:schemeClr val="bg1">
                  <a:lumMod val="90200"/>
                </a:schemeClr>
              </a:solidFill>
              <a:round/>
            </a:ln>
            <a:effectLst/>
          </c:spPr>
        </c:majorGridlines>
        <c:numFmt formatCode="General" sourceLinked="1"/>
        <c:maj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43841536"/>
        <c:crosses val="autoZero"/>
        <c:crossBetween val="between"/>
      </c:valAx>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rPr lang="en-US" altLang="zh-CN"/>
              <a:t>2022</a:t>
            </a:r>
            <a:r>
              <a:rPr altLang="en-US"/>
              <a:t>年收入决算结构图</a:t>
            </a:r>
          </a:p>
        </c:rich>
      </c:tx>
      <c:layout>
        <c:manualLayout>
          <c:xMode val="edge"/>
          <c:yMode val="edge"/>
          <c:x val="0.42413626479826022"/>
          <c:y val="2.5499362515937134E-2"/>
        </c:manualLayout>
      </c:layout>
      <c:spPr>
        <a:noFill/>
        <a:ln>
          <a:noFill/>
        </a:ln>
        <a:effectLst/>
      </c:spPr>
    </c:title>
    <c:plotArea>
      <c:layout/>
      <c:pieChart>
        <c:varyColors val="1"/>
        <c:ser>
          <c:idx val="0"/>
          <c:order val="0"/>
          <c:tx>
            <c:strRef>
              <c:f>Sheet1!$B$1</c:f>
              <c:strCache>
                <c:ptCount val="1"/>
                <c:pt idx="0">
                  <c:v>金额</c:v>
                </c:pt>
              </c:strCache>
            </c:strRef>
          </c:tx>
          <c:dPt>
            <c:idx val="0"/>
            <c:spPr>
              <a:solidFill>
                <a:schemeClr val="accent1"/>
              </a:solidFill>
              <a:ln>
                <a:solidFill>
                  <a:schemeClr val="bg1"/>
                </a:solidFill>
              </a:ln>
              <a:effectLst/>
            </c:spPr>
          </c:dPt>
          <c:dPt>
            <c:idx val="1"/>
            <c:spPr>
              <a:solidFill>
                <a:schemeClr val="accent2"/>
              </a:solidFill>
              <a:ln>
                <a:solidFill>
                  <a:schemeClr val="bg1"/>
                </a:solidFill>
              </a:ln>
              <a:effectLst/>
            </c:spPr>
          </c:dPt>
          <c:dPt>
            <c:idx val="2"/>
            <c:spPr>
              <a:solidFill>
                <a:schemeClr val="accent3"/>
              </a:solidFill>
              <a:ln>
                <a:solidFill>
                  <a:schemeClr val="bg1"/>
                </a:solidFill>
              </a:ln>
              <a:effectLst/>
            </c:spPr>
          </c:dPt>
          <c:dPt>
            <c:idx val="3"/>
            <c:spPr>
              <a:solidFill>
                <a:schemeClr val="accent4"/>
              </a:solidFill>
              <a:ln>
                <a:solidFill>
                  <a:schemeClr val="bg1"/>
                </a:solidFill>
              </a:ln>
              <a:effectLst/>
            </c:spPr>
          </c:dPt>
          <c:dPt>
            <c:idx val="4"/>
            <c:spPr>
              <a:solidFill>
                <a:schemeClr val="accent5"/>
              </a:solidFill>
              <a:ln>
                <a:solidFill>
                  <a:schemeClr val="bg1"/>
                </a:solidFill>
              </a:ln>
              <a:effectLst/>
            </c:spPr>
          </c:dPt>
          <c:dPt>
            <c:idx val="5"/>
            <c:spPr>
              <a:solidFill>
                <a:schemeClr val="accent6"/>
              </a:solidFill>
              <a:ln>
                <a:solidFill>
                  <a:schemeClr val="bg1"/>
                </a:solidFill>
              </a:ln>
              <a:effectLst/>
            </c:spPr>
          </c:dPt>
          <c:dPt>
            <c:idx val="6"/>
            <c:spPr>
              <a:solidFill>
                <a:schemeClr val="accent1">
                  <a:lumMod val="60000"/>
                </a:schemeClr>
              </a:solidFill>
              <a:ln>
                <a:solidFill>
                  <a:schemeClr val="bg1"/>
                </a:solidFill>
              </a:ln>
              <a:effectLst/>
            </c:spPr>
          </c:dPt>
          <c:dPt>
            <c:idx val="7"/>
            <c:spPr>
              <a:solidFill>
                <a:schemeClr val="accent2">
                  <a:lumMod val="60000"/>
                </a:schemeClr>
              </a:solidFill>
              <a:ln>
                <a:solidFill>
                  <a:schemeClr val="bg1"/>
                </a:solidFill>
              </a:ln>
              <a:effectLst/>
            </c:spPr>
          </c:dPt>
          <c:cat>
            <c:strRef>
              <c:f>Sheet1!$A$2:$A$9</c:f>
              <c:strCache>
                <c:ptCount val="8"/>
                <c:pt idx="0">
                  <c:v>一般公共预算财政拨款收入</c:v>
                </c:pt>
                <c:pt idx="1">
                  <c:v>事业收入</c:v>
                </c:pt>
                <c:pt idx="2">
                  <c:v>经营收入</c:v>
                </c:pt>
                <c:pt idx="3">
                  <c:v>附属单位上缴收入</c:v>
                </c:pt>
                <c:pt idx="4">
                  <c:v>其他收入</c:v>
                </c:pt>
                <c:pt idx="5">
                  <c:v>政府性基金预算财政拨款收入</c:v>
                </c:pt>
                <c:pt idx="6">
                  <c:v>国有资本经营预算财政拨款收入</c:v>
                </c:pt>
                <c:pt idx="7">
                  <c:v>上级补助收入</c:v>
                </c:pt>
              </c:strCache>
            </c:strRef>
          </c:cat>
          <c:val>
            <c:numRef>
              <c:f>Sheet1!$B$2:$B$9</c:f>
              <c:numCache>
                <c:formatCode>General</c:formatCode>
                <c:ptCount val="8"/>
                <c:pt idx="0">
                  <c:v>680.2</c:v>
                </c:pt>
                <c:pt idx="1">
                  <c:v>0</c:v>
                </c:pt>
                <c:pt idx="2">
                  <c:v>0</c:v>
                </c:pt>
                <c:pt idx="3">
                  <c:v>0</c:v>
                </c:pt>
                <c:pt idx="4">
                  <c:v>0</c:v>
                </c:pt>
                <c:pt idx="5">
                  <c:v>0</c:v>
                </c:pt>
                <c:pt idx="6">
                  <c:v>0</c:v>
                </c:pt>
                <c:pt idx="7">
                  <c:v>0</c:v>
                </c:pt>
              </c:numCache>
            </c:numRef>
          </c:val>
        </c:ser>
        <c:firstSliceAng val="0"/>
      </c:pieChart>
      <c:spPr>
        <a:noFill/>
        <a:ln>
          <a:noFill/>
        </a:ln>
        <a:effectLst/>
      </c:spPr>
    </c:plotArea>
    <c:legend>
      <c:legendPos val="t"/>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rPr lang="en-US" altLang="zh-CN"/>
              <a:t>2022</a:t>
            </a:r>
            <a:r>
              <a:rPr altLang="en-US"/>
              <a:t>年支出决算结构图</a:t>
            </a:r>
          </a:p>
        </c:rich>
      </c:tx>
      <c:spPr>
        <a:noFill/>
        <a:ln>
          <a:noFill/>
        </a:ln>
        <a:effectLst/>
      </c:spPr>
    </c:title>
    <c:plotArea>
      <c:layout/>
      <c:pieChart>
        <c:varyColors val="1"/>
        <c:ser>
          <c:idx val="0"/>
          <c:order val="0"/>
          <c:tx>
            <c:strRef>
              <c:f>Sheet1!$B$1</c:f>
              <c:strCache>
                <c:ptCount val="1"/>
                <c:pt idx="0">
                  <c:v>金额（万元）</c:v>
                </c:pt>
              </c:strCache>
            </c:strRef>
          </c:tx>
          <c:dPt>
            <c:idx val="0"/>
            <c:spPr>
              <a:solidFill>
                <a:schemeClr val="accent1"/>
              </a:solidFill>
              <a:ln>
                <a:solidFill>
                  <a:schemeClr val="bg1"/>
                </a:solidFill>
              </a:ln>
              <a:effectLst/>
            </c:spPr>
          </c:dPt>
          <c:dPt>
            <c:idx val="1"/>
            <c:spPr>
              <a:solidFill>
                <a:schemeClr val="accent2"/>
              </a:solidFill>
              <a:ln>
                <a:solidFill>
                  <a:schemeClr val="bg1"/>
                </a:solidFill>
              </a:ln>
              <a:effectLst/>
            </c:spPr>
          </c:dPt>
          <c:dPt>
            <c:idx val="2"/>
            <c:spPr>
              <a:solidFill>
                <a:schemeClr val="accent3"/>
              </a:solidFill>
              <a:ln>
                <a:solidFill>
                  <a:schemeClr val="bg1"/>
                </a:solidFill>
              </a:ln>
              <a:effectLst/>
            </c:spPr>
          </c:dPt>
          <c:dPt>
            <c:idx val="3"/>
            <c:spPr>
              <a:solidFill>
                <a:schemeClr val="accent4"/>
              </a:solidFill>
              <a:ln>
                <a:solidFill>
                  <a:schemeClr val="bg1"/>
                </a:solidFill>
              </a:ln>
              <a:effectLst/>
            </c:spPr>
          </c:dPt>
          <c:dPt>
            <c:idx val="4"/>
            <c:spPr>
              <a:solidFill>
                <a:schemeClr val="accent5"/>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endParaRPr lang="zh-CN"/>
              </a:p>
            </c:txPr>
            <c:dLblPos val="bestFit"/>
            <c:showVal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基本支出</c:v>
                </c:pt>
                <c:pt idx="1">
                  <c:v>项目支出</c:v>
                </c:pt>
                <c:pt idx="2">
                  <c:v>经营支出</c:v>
                </c:pt>
                <c:pt idx="3">
                  <c:v>上缴上级支出</c:v>
                </c:pt>
                <c:pt idx="4">
                  <c:v>对附属单位补助支出</c:v>
                </c:pt>
              </c:strCache>
            </c:strRef>
          </c:cat>
          <c:val>
            <c:numRef>
              <c:f>Sheet1!$B$2:$B$6</c:f>
              <c:numCache>
                <c:formatCode>General</c:formatCode>
                <c:ptCount val="5"/>
                <c:pt idx="0">
                  <c:v>614.16</c:v>
                </c:pt>
                <c:pt idx="1">
                  <c:v>66.040000000000006</c:v>
                </c:pt>
                <c:pt idx="2">
                  <c:v>0</c:v>
                </c:pt>
                <c:pt idx="3">
                  <c:v>0</c:v>
                </c:pt>
                <c:pt idx="4">
                  <c:v>0</c:v>
                </c:pt>
              </c:numCache>
            </c:numRef>
          </c:val>
        </c:ser>
        <c:dLbls>
          <c:showVal val="1"/>
        </c:dLbls>
        <c:firstSliceAng val="0"/>
      </c:pieChart>
      <c:spPr>
        <a:noFill/>
        <a:ln>
          <a:noFill/>
        </a:ln>
        <a:effectLst/>
      </c:spPr>
    </c:plotArea>
    <c:legend>
      <c:legendPos val="t"/>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rPr lang="en-US" altLang="zh-CN"/>
              <a:t>2022</a:t>
            </a:r>
            <a:r>
              <a:rPr altLang="en-US"/>
              <a:t>年收入支出决算总体变动情况图</a:t>
            </a:r>
          </a:p>
        </c:rich>
      </c:tx>
      <c:spPr>
        <a:noFill/>
        <a:ln>
          <a:noFill/>
        </a:ln>
        <a:effectLst/>
      </c:spPr>
    </c:title>
    <c:plotArea>
      <c:layout/>
      <c:barChart>
        <c:barDir val="col"/>
        <c:grouping val="clustered"/>
        <c:ser>
          <c:idx val="0"/>
          <c:order val="0"/>
          <c:tx>
            <c:strRef>
              <c:f>Sheet1!$B$1</c:f>
              <c:strCache>
                <c:ptCount val="1"/>
                <c:pt idx="0">
                  <c:v>2021年总收支</c:v>
                </c:pt>
              </c:strCache>
            </c:strRef>
          </c:tx>
          <c:spPr>
            <a:solidFill>
              <a:schemeClr val="accent1"/>
            </a:solidFill>
            <a:ln>
              <a:noFill/>
            </a:ln>
            <a:effectLst/>
          </c:spPr>
          <c:cat>
            <c:strRef>
              <c:f>Sheet1!$A$2:$A$3</c:f>
              <c:strCache>
                <c:ptCount val="2"/>
                <c:pt idx="0">
                  <c:v>2021年总收支</c:v>
                </c:pt>
                <c:pt idx="1">
                  <c:v>2022年总收支</c:v>
                </c:pt>
              </c:strCache>
            </c:strRef>
          </c:cat>
          <c:val>
            <c:numRef>
              <c:f>Sheet1!$B$2:$B$3</c:f>
              <c:numCache>
                <c:formatCode>General</c:formatCode>
                <c:ptCount val="2"/>
                <c:pt idx="0">
                  <c:v>749.01</c:v>
                </c:pt>
                <c:pt idx="1">
                  <c:v>680.2</c:v>
                </c:pt>
              </c:numCache>
            </c:numRef>
          </c:val>
        </c:ser>
        <c:ser>
          <c:idx val="1"/>
          <c:order val="1"/>
          <c:tx>
            <c:strRef>
              <c:f>Sheet1!$C$1</c:f>
              <c:strCache>
                <c:ptCount val="1"/>
                <c:pt idx="0">
                  <c:v>2022年总收支</c:v>
                </c:pt>
              </c:strCache>
            </c:strRef>
          </c:tx>
          <c:spPr>
            <a:solidFill>
              <a:schemeClr val="accent2"/>
            </a:solidFill>
            <a:ln>
              <a:noFill/>
            </a:ln>
            <a:effectLst/>
          </c:spPr>
          <c:cat>
            <c:strRef>
              <c:f>Sheet1!$A$2:$A$3</c:f>
              <c:strCache>
                <c:ptCount val="2"/>
                <c:pt idx="0">
                  <c:v>2021年总收支</c:v>
                </c:pt>
                <c:pt idx="1">
                  <c:v>2022年总收支</c:v>
                </c:pt>
              </c:strCache>
            </c:strRef>
          </c:cat>
          <c:val>
            <c:numRef>
              <c:f>Sheet1!$C$2:$C$3</c:f>
              <c:numCache>
                <c:formatCode>General</c:formatCode>
                <c:ptCount val="2"/>
                <c:pt idx="0">
                  <c:v>2.4</c:v>
                </c:pt>
                <c:pt idx="1">
                  <c:v>4.4000000000000004</c:v>
                </c:pt>
              </c:numCache>
            </c:numRef>
          </c:val>
        </c:ser>
        <c:gapWidth val="246"/>
        <c:overlap val="-28"/>
        <c:axId val="219979136"/>
        <c:axId val="220660864"/>
      </c:barChart>
      <c:catAx>
        <c:axId val="219979136"/>
        <c:scaling>
          <c:orientation val="minMax"/>
        </c:scaling>
        <c:axPos val="b"/>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20660864"/>
        <c:crosses val="autoZero"/>
        <c:auto val="1"/>
        <c:lblAlgn val="ctr"/>
        <c:lblOffset val="100"/>
      </c:catAx>
      <c:valAx>
        <c:axId val="220660864"/>
        <c:scaling>
          <c:orientation val="minMax"/>
        </c:scaling>
        <c:axPos val="l"/>
        <c:majorGridlines>
          <c:spPr>
            <a:ln w="9525" cap="flat" cmpd="sng" algn="ctr">
              <a:solidFill>
                <a:schemeClr val="bg1">
                  <a:lumMod val="90200"/>
                </a:schemeClr>
              </a:solidFill>
              <a:round/>
            </a:ln>
            <a:effectLst/>
          </c:spPr>
        </c:majorGridlines>
        <c:numFmt formatCode="General" sourceLinked="1"/>
        <c:maj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19979136"/>
        <c:crosses val="autoZero"/>
        <c:crossBetween val="between"/>
      </c:valAx>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rPr lang="en-US" altLang="zh-CN"/>
              <a:t>2022</a:t>
            </a:r>
            <a:r>
              <a:rPr altLang="en-US"/>
              <a:t>年一般公共预算财政拨款支出决算总体情况图</a:t>
            </a:r>
          </a:p>
        </c:rich>
      </c:tx>
      <c:spPr>
        <a:noFill/>
        <a:ln>
          <a:noFill/>
        </a:ln>
        <a:effectLst/>
      </c:spPr>
    </c:title>
    <c:plotArea>
      <c:layout/>
      <c:barChart>
        <c:barDir val="col"/>
        <c:grouping val="clustered"/>
        <c:ser>
          <c:idx val="0"/>
          <c:order val="0"/>
          <c:tx>
            <c:strRef>
              <c:f>Sheet1!$B$1</c:f>
              <c:strCache>
                <c:ptCount val="1"/>
                <c:pt idx="0">
                  <c:v>2021年总收支</c:v>
                </c:pt>
              </c:strCache>
            </c:strRef>
          </c:tx>
          <c:spPr>
            <a:solidFill>
              <a:schemeClr val="accent1"/>
            </a:solidFill>
            <a:ln>
              <a:noFill/>
            </a:ln>
            <a:effectLst/>
          </c:spPr>
          <c:cat>
            <c:strRef>
              <c:f>Sheet1!$A$2:$A$3</c:f>
              <c:strCache>
                <c:ptCount val="2"/>
                <c:pt idx="0">
                  <c:v>2021年总收支</c:v>
                </c:pt>
                <c:pt idx="1">
                  <c:v>2022年总收支</c:v>
                </c:pt>
              </c:strCache>
            </c:strRef>
          </c:cat>
          <c:val>
            <c:numRef>
              <c:f>Sheet1!$B$2:$B$3</c:f>
              <c:numCache>
                <c:formatCode>General</c:formatCode>
                <c:ptCount val="2"/>
                <c:pt idx="0">
                  <c:v>749.01</c:v>
                </c:pt>
                <c:pt idx="1">
                  <c:v>680.2</c:v>
                </c:pt>
              </c:numCache>
            </c:numRef>
          </c:val>
        </c:ser>
        <c:ser>
          <c:idx val="1"/>
          <c:order val="1"/>
          <c:tx>
            <c:strRef>
              <c:f>Sheet1!$C$1</c:f>
              <c:strCache>
                <c:ptCount val="1"/>
                <c:pt idx="0">
                  <c:v>2022年总收支</c:v>
                </c:pt>
              </c:strCache>
            </c:strRef>
          </c:tx>
          <c:spPr>
            <a:solidFill>
              <a:schemeClr val="accent2"/>
            </a:solidFill>
            <a:ln>
              <a:noFill/>
            </a:ln>
            <a:effectLst/>
          </c:spPr>
          <c:cat>
            <c:strRef>
              <c:f>Sheet1!$A$2:$A$3</c:f>
              <c:strCache>
                <c:ptCount val="2"/>
                <c:pt idx="0">
                  <c:v>2021年总收支</c:v>
                </c:pt>
                <c:pt idx="1">
                  <c:v>2022年总收支</c:v>
                </c:pt>
              </c:strCache>
            </c:strRef>
          </c:cat>
          <c:val>
            <c:numRef>
              <c:f>Sheet1!$C$2:$C$3</c:f>
              <c:numCache>
                <c:formatCode>General</c:formatCode>
                <c:ptCount val="2"/>
                <c:pt idx="0">
                  <c:v>2.4</c:v>
                </c:pt>
                <c:pt idx="1">
                  <c:v>4.4000000000000004</c:v>
                </c:pt>
              </c:numCache>
            </c:numRef>
          </c:val>
        </c:ser>
        <c:gapWidth val="246"/>
        <c:overlap val="-28"/>
        <c:axId val="192386560"/>
        <c:axId val="192388096"/>
      </c:barChart>
      <c:catAx>
        <c:axId val="192386560"/>
        <c:scaling>
          <c:orientation val="minMax"/>
        </c:scaling>
        <c:axPos val="b"/>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92388096"/>
        <c:crosses val="autoZero"/>
        <c:auto val="1"/>
        <c:lblAlgn val="ctr"/>
        <c:lblOffset val="100"/>
      </c:catAx>
      <c:valAx>
        <c:axId val="192388096"/>
        <c:scaling>
          <c:orientation val="minMax"/>
        </c:scaling>
        <c:axPos val="l"/>
        <c:majorGridlines>
          <c:spPr>
            <a:ln w="9525" cap="flat" cmpd="sng" algn="ctr">
              <a:solidFill>
                <a:schemeClr val="bg1">
                  <a:lumMod val="90200"/>
                </a:schemeClr>
              </a:solidFill>
              <a:round/>
            </a:ln>
            <a:effectLst/>
          </c:spPr>
        </c:majorGridlines>
        <c:numFmt formatCode="General" sourceLinked="1"/>
        <c:maj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92386560"/>
        <c:crosses val="autoZero"/>
        <c:crossBetween val="between"/>
      </c:valAx>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rPr lang="en-US" altLang="zh-CN"/>
              <a:t>2022</a:t>
            </a:r>
            <a:r>
              <a:rPr altLang="en-US"/>
              <a:t>年一般公共预算财政拨款支出决算结构图</a:t>
            </a:r>
          </a:p>
        </c:rich>
      </c:tx>
      <c:spPr>
        <a:noFill/>
        <a:ln>
          <a:noFill/>
        </a:ln>
        <a:effectLst/>
      </c:spPr>
    </c:title>
    <c:plotArea>
      <c:layout/>
      <c:pieChart>
        <c:varyColors val="1"/>
        <c:ser>
          <c:idx val="0"/>
          <c:order val="0"/>
          <c:tx>
            <c:strRef>
              <c:f>Sheet1!$B$1</c:f>
              <c:strCache>
                <c:ptCount val="1"/>
                <c:pt idx="0">
                  <c:v>销售额</c:v>
                </c:pt>
              </c:strCache>
            </c:strRef>
          </c:tx>
          <c:dPt>
            <c:idx val="0"/>
            <c:spPr>
              <a:solidFill>
                <a:schemeClr val="accent1"/>
              </a:solidFill>
              <a:ln>
                <a:solidFill>
                  <a:schemeClr val="bg1"/>
                </a:solidFill>
              </a:ln>
              <a:effectLst/>
            </c:spPr>
          </c:dPt>
          <c:dPt>
            <c:idx val="1"/>
            <c:spPr>
              <a:solidFill>
                <a:schemeClr val="accent2"/>
              </a:solidFill>
              <a:ln>
                <a:solidFill>
                  <a:schemeClr val="bg1"/>
                </a:solidFill>
              </a:ln>
              <a:effectLst/>
            </c:spPr>
          </c:dPt>
          <c:dPt>
            <c:idx val="2"/>
            <c:spPr>
              <a:solidFill>
                <a:schemeClr val="accent3"/>
              </a:solidFill>
              <a:ln>
                <a:solidFill>
                  <a:schemeClr val="bg1"/>
                </a:solidFill>
              </a:ln>
              <a:effectLst/>
            </c:spPr>
          </c:dPt>
          <c:dPt>
            <c:idx val="3"/>
            <c:spPr>
              <a:solidFill>
                <a:schemeClr val="accent4"/>
              </a:solidFill>
              <a:ln>
                <a:solidFill>
                  <a:schemeClr val="bg1"/>
                </a:solidFill>
              </a:ln>
              <a:effectLst/>
            </c:spPr>
          </c:dPt>
          <c:dPt>
            <c:idx val="4"/>
            <c:spPr>
              <a:solidFill>
                <a:schemeClr val="accent5"/>
              </a:solidFill>
              <a:ln>
                <a:solidFill>
                  <a:schemeClr val="bg1"/>
                </a:solidFill>
              </a:ln>
              <a:effectLst/>
            </c:spPr>
          </c:dPt>
          <c:dPt>
            <c:idx val="5"/>
            <c:spPr>
              <a:solidFill>
                <a:schemeClr val="accent6"/>
              </a:solidFill>
              <a:ln>
                <a:solidFill>
                  <a:schemeClr val="bg1"/>
                </a:solidFill>
              </a:ln>
              <a:effectLst/>
            </c:spPr>
          </c:dPt>
          <c:dPt>
            <c:idx val="6"/>
            <c:spPr>
              <a:solidFill>
                <a:schemeClr val="accent1">
                  <a:lumMod val="60000"/>
                </a:schemeClr>
              </a:solidFill>
              <a:ln>
                <a:solidFill>
                  <a:schemeClr val="bg1"/>
                </a:solidFill>
              </a:ln>
              <a:effectLst/>
            </c:spPr>
          </c:dPt>
          <c:dPt>
            <c:idx val="7"/>
            <c:spPr>
              <a:solidFill>
                <a:schemeClr val="accent2">
                  <a:lumMod val="60000"/>
                </a:schemeClr>
              </a:solidFill>
              <a:ln>
                <a:solidFill>
                  <a:schemeClr val="bg1"/>
                </a:solidFill>
              </a:ln>
              <a:effectLst/>
            </c:spPr>
          </c:dPt>
          <c:dPt>
            <c:idx val="8"/>
            <c:spPr>
              <a:solidFill>
                <a:schemeClr val="accent3">
                  <a:lumMod val="60000"/>
                </a:schemeClr>
              </a:solidFill>
              <a:ln>
                <a:solidFill>
                  <a:schemeClr val="bg1"/>
                </a:solidFill>
              </a:ln>
              <a:effectLst/>
            </c:spPr>
          </c:dPt>
          <c:dPt>
            <c:idx val="9"/>
            <c:spPr>
              <a:solidFill>
                <a:schemeClr val="accent4">
                  <a:lumMod val="60000"/>
                </a:schemeClr>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endParaRPr lang="zh-CN"/>
              </a:p>
            </c:txPr>
            <c:dLblPos val="bestFit"/>
            <c:showVal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一般公共服务支出</c:v>
                </c:pt>
                <c:pt idx="1">
                  <c:v>教育支出</c:v>
                </c:pt>
                <c:pt idx="2">
                  <c:v>科学技术支出</c:v>
                </c:pt>
                <c:pt idx="3">
                  <c:v>文化旅游体育与传媒支出</c:v>
                </c:pt>
                <c:pt idx="4">
                  <c:v>社会保障和就业支出</c:v>
                </c:pt>
                <c:pt idx="5">
                  <c:v>卫生健康支出</c:v>
                </c:pt>
                <c:pt idx="6">
                  <c:v>住房保障支出</c:v>
                </c:pt>
                <c:pt idx="7">
                  <c:v>灾害防治及应急管理支出</c:v>
                </c:pt>
              </c:strCache>
            </c:strRef>
          </c:cat>
          <c:val>
            <c:numRef>
              <c:f>Sheet1!$B$2:$B$11</c:f>
              <c:numCache>
                <c:formatCode>General</c:formatCode>
                <c:ptCount val="10"/>
                <c:pt idx="0">
                  <c:v>512.49</c:v>
                </c:pt>
                <c:pt idx="1">
                  <c:v>0</c:v>
                </c:pt>
                <c:pt idx="2">
                  <c:v>0</c:v>
                </c:pt>
                <c:pt idx="3">
                  <c:v>0</c:v>
                </c:pt>
                <c:pt idx="4">
                  <c:v>53.68</c:v>
                </c:pt>
                <c:pt idx="5">
                  <c:v>22.77</c:v>
                </c:pt>
                <c:pt idx="6">
                  <c:v>30.779999999999987</c:v>
                </c:pt>
                <c:pt idx="7">
                  <c:v>60.48</c:v>
                </c:pt>
              </c:numCache>
            </c:numRef>
          </c:val>
        </c:ser>
        <c:dLbls>
          <c:showVal val="1"/>
        </c:dLbls>
        <c:firstSliceAng val="0"/>
      </c:pieChart>
      <c:spPr>
        <a:noFill/>
        <a:ln>
          <a:noFill/>
        </a:ln>
        <a:effectLst/>
      </c:spPr>
    </c:plotArea>
    <c:legend>
      <c:legendPos val="t"/>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19</Pages>
  <Words>898</Words>
  <Characters>5124</Characters>
  <Application>Microsoft Office Word</Application>
  <DocSecurity>0</DocSecurity>
  <Lines>42</Lines>
  <Paragraphs>12</Paragraphs>
  <ScaleCrop>false</ScaleCrop>
  <Company>四川省财政厅</Company>
  <LinksUpToDate>false</LinksUpToDate>
  <CharactersWithSpaces>6010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ASUS</cp:lastModifiedBy>
  <cp:revision>35</cp:revision>
  <cp:lastPrinted>2023-07-31T02:35:00Z</cp:lastPrinted>
  <dcterms:created xsi:type="dcterms:W3CDTF">2020-08-05T01:49:00Z</dcterms:created>
  <dcterms:modified xsi:type="dcterms:W3CDTF">2023-10-11T08:37:00Z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035E07C7F5204CC0AC071570D1545B19_13</vt:lpwstr>
  </property>
</Properties>
</file>